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C1483A">
      <w:pPr>
        <w:ind w:firstLine="261"/>
        <w:rPr>
          <w:rFonts w:hint="eastAsia" w:ascii="宋体" w:hAnsi="宋体" w:eastAsia="宋体" w:cs="宋体"/>
          <w:b/>
          <w:bCs/>
          <w:sz w:val="13"/>
          <w:highlight w:val="none"/>
        </w:rPr>
      </w:pPr>
    </w:p>
    <w:p w14:paraId="34FA89A9">
      <w:pPr>
        <w:spacing w:after="120"/>
        <w:ind w:left="-161" w:leftChars="-67" w:firstLine="1000"/>
        <w:jc w:val="center"/>
        <w:rPr>
          <w:rFonts w:hint="eastAsia" w:ascii="宋体" w:hAnsi="宋体" w:eastAsia="宋体" w:cs="宋体"/>
          <w:bCs/>
          <w:sz w:val="50"/>
          <w:szCs w:val="50"/>
          <w:highlight w:val="none"/>
        </w:rPr>
      </w:pPr>
    </w:p>
    <w:p w14:paraId="23C646B3">
      <w:pPr>
        <w:spacing w:before="156" w:beforeLines="50" w:after="120"/>
        <w:ind w:firstLine="0" w:firstLineChars="0"/>
        <w:jc w:val="center"/>
        <w:rPr>
          <w:rFonts w:hint="eastAsia" w:ascii="宋体" w:hAnsi="宋体" w:eastAsia="宋体" w:cs="宋体"/>
          <w:b/>
          <w:bCs/>
          <w:snapToGrid w:val="0"/>
          <w:color w:val="000000"/>
          <w:kern w:val="0"/>
          <w:sz w:val="48"/>
          <w:szCs w:val="48"/>
          <w:highlight w:val="none"/>
        </w:rPr>
      </w:pPr>
      <w:bookmarkStart w:id="0" w:name="OLE_LINK1"/>
      <w:r>
        <w:rPr>
          <w:rFonts w:hint="eastAsia" w:ascii="宋体" w:hAnsi="宋体" w:eastAsia="宋体" w:cs="宋体"/>
          <w:b/>
          <w:bCs/>
          <w:snapToGrid w:val="0"/>
          <w:color w:val="000000"/>
          <w:kern w:val="0"/>
          <w:sz w:val="48"/>
          <w:szCs w:val="48"/>
          <w:highlight w:val="none"/>
        </w:rPr>
        <w:t>《</w:t>
      </w:r>
      <w:r>
        <w:rPr>
          <w:rFonts w:hint="eastAsia" w:ascii="宋体" w:hAnsi="宋体" w:cs="宋体"/>
          <w:b/>
          <w:bCs/>
          <w:snapToGrid w:val="0"/>
          <w:color w:val="000000"/>
          <w:kern w:val="0"/>
          <w:sz w:val="48"/>
          <w:szCs w:val="48"/>
          <w:highlight w:val="none"/>
          <w:lang w:eastAsia="zh-CN"/>
        </w:rPr>
        <w:t>光伏发电工程概算定额</w:t>
      </w:r>
      <w:r>
        <w:rPr>
          <w:rFonts w:hint="eastAsia" w:ascii="宋体" w:hAnsi="宋体" w:eastAsia="宋体" w:cs="宋体"/>
          <w:b/>
          <w:bCs/>
          <w:snapToGrid w:val="0"/>
          <w:color w:val="000000"/>
          <w:kern w:val="0"/>
          <w:sz w:val="48"/>
          <w:szCs w:val="48"/>
          <w:highlight w:val="none"/>
        </w:rPr>
        <w:t>》</w:t>
      </w:r>
      <w:bookmarkEnd w:id="0"/>
    </w:p>
    <w:p w14:paraId="788DFD47">
      <w:pPr>
        <w:spacing w:before="156" w:beforeLines="50" w:after="120"/>
        <w:ind w:firstLine="0" w:firstLineChars="0"/>
        <w:jc w:val="center"/>
        <w:rPr>
          <w:rFonts w:hint="eastAsia" w:ascii="宋体" w:hAnsi="宋体" w:eastAsia="宋体" w:cs="宋体"/>
          <w:b/>
          <w:bCs/>
          <w:snapToGrid w:val="0"/>
          <w:color w:val="000000"/>
          <w:kern w:val="0"/>
          <w:sz w:val="44"/>
          <w:szCs w:val="44"/>
          <w:highlight w:val="none"/>
        </w:rPr>
      </w:pPr>
      <w:r>
        <w:rPr>
          <w:rFonts w:hint="eastAsia" w:ascii="宋体" w:hAnsi="宋体" w:eastAsia="宋体" w:cs="宋体"/>
          <w:b/>
          <w:bCs/>
          <w:snapToGrid w:val="0"/>
          <w:color w:val="000000"/>
          <w:kern w:val="0"/>
          <w:sz w:val="44"/>
          <w:szCs w:val="44"/>
          <w:highlight w:val="none"/>
        </w:rPr>
        <w:t>（</w:t>
      </w:r>
      <w:r>
        <w:rPr>
          <w:rFonts w:hint="eastAsia" w:ascii="宋体" w:hAnsi="宋体" w:eastAsia="宋体" w:cs="宋体"/>
          <w:b/>
          <w:bCs/>
          <w:snapToGrid w:val="0"/>
          <w:color w:val="000000"/>
          <w:kern w:val="0"/>
          <w:sz w:val="44"/>
          <w:szCs w:val="44"/>
          <w:highlight w:val="none"/>
          <w:lang w:val="en-US" w:eastAsia="zh-CN"/>
        </w:rPr>
        <w:t>征求意见</w:t>
      </w:r>
      <w:r>
        <w:rPr>
          <w:rFonts w:hint="eastAsia" w:ascii="宋体" w:hAnsi="宋体" w:eastAsia="宋体" w:cs="宋体"/>
          <w:b/>
          <w:bCs/>
          <w:snapToGrid w:val="0"/>
          <w:color w:val="000000"/>
          <w:kern w:val="0"/>
          <w:sz w:val="44"/>
          <w:szCs w:val="44"/>
          <w:highlight w:val="none"/>
        </w:rPr>
        <w:t>稿）</w:t>
      </w:r>
      <w:bookmarkStart w:id="84" w:name="_GoBack"/>
      <w:bookmarkEnd w:id="84"/>
    </w:p>
    <w:p w14:paraId="2F49453F">
      <w:pPr>
        <w:ind w:firstLine="0" w:firstLineChars="0"/>
        <w:jc w:val="center"/>
        <w:rPr>
          <w:rFonts w:hint="eastAsia" w:ascii="宋体" w:hAnsi="宋体" w:eastAsia="宋体" w:cs="宋体"/>
          <w:b/>
          <w:bCs/>
          <w:snapToGrid w:val="0"/>
          <w:color w:val="000000"/>
          <w:kern w:val="0"/>
          <w:sz w:val="44"/>
          <w:szCs w:val="44"/>
          <w:highlight w:val="none"/>
        </w:rPr>
      </w:pPr>
    </w:p>
    <w:p w14:paraId="33989F5E">
      <w:pPr>
        <w:ind w:firstLine="0" w:firstLineChars="0"/>
        <w:jc w:val="center"/>
        <w:rPr>
          <w:rFonts w:hint="eastAsia" w:ascii="宋体" w:hAnsi="宋体" w:eastAsia="宋体" w:cs="宋体"/>
          <w:b/>
          <w:bCs/>
          <w:snapToGrid w:val="0"/>
          <w:color w:val="000000"/>
          <w:kern w:val="0"/>
          <w:sz w:val="44"/>
          <w:szCs w:val="44"/>
          <w:highlight w:val="none"/>
        </w:rPr>
      </w:pPr>
      <w:r>
        <w:rPr>
          <w:rFonts w:hint="eastAsia" w:ascii="宋体" w:hAnsi="宋体" w:eastAsia="宋体" w:cs="宋体"/>
          <w:b/>
          <w:bCs/>
          <w:snapToGrid w:val="0"/>
          <w:color w:val="000000"/>
          <w:kern w:val="0"/>
          <w:sz w:val="44"/>
          <w:szCs w:val="44"/>
          <w:highlight w:val="none"/>
        </w:rPr>
        <w:t>编制说明</w:t>
      </w:r>
    </w:p>
    <w:p w14:paraId="20FDA2F4">
      <w:pPr>
        <w:ind w:firstLine="0" w:firstLineChars="0"/>
        <w:jc w:val="center"/>
        <w:rPr>
          <w:rFonts w:hint="eastAsia" w:ascii="宋体" w:hAnsi="宋体" w:eastAsia="宋体" w:cs="宋体"/>
          <w:b/>
          <w:bCs/>
          <w:sz w:val="28"/>
          <w:highlight w:val="none"/>
        </w:rPr>
      </w:pPr>
    </w:p>
    <w:p w14:paraId="0051FEB0">
      <w:pPr>
        <w:ind w:firstLine="0" w:firstLineChars="0"/>
        <w:jc w:val="center"/>
        <w:rPr>
          <w:rFonts w:hint="eastAsia" w:ascii="宋体" w:hAnsi="宋体" w:eastAsia="宋体" w:cs="宋体"/>
          <w:b/>
          <w:bCs/>
          <w:highlight w:val="none"/>
        </w:rPr>
      </w:pPr>
    </w:p>
    <w:p w14:paraId="5BE65C4C">
      <w:pPr>
        <w:ind w:firstLine="0" w:firstLineChars="0"/>
        <w:jc w:val="center"/>
        <w:rPr>
          <w:rFonts w:hint="eastAsia" w:ascii="宋体" w:hAnsi="宋体" w:eastAsia="宋体" w:cs="宋体"/>
          <w:b/>
          <w:bCs/>
          <w:highlight w:val="none"/>
        </w:rPr>
      </w:pPr>
    </w:p>
    <w:p w14:paraId="222AFE70">
      <w:pPr>
        <w:ind w:firstLine="0" w:firstLineChars="0"/>
        <w:jc w:val="center"/>
        <w:rPr>
          <w:rFonts w:hint="eastAsia" w:ascii="宋体" w:hAnsi="宋体" w:eastAsia="宋体" w:cs="宋体"/>
          <w:b/>
          <w:bCs/>
          <w:highlight w:val="none"/>
        </w:rPr>
      </w:pPr>
    </w:p>
    <w:p w14:paraId="63D6464F">
      <w:pPr>
        <w:ind w:firstLine="0" w:firstLineChars="0"/>
        <w:jc w:val="center"/>
        <w:rPr>
          <w:rFonts w:hint="eastAsia" w:ascii="宋体" w:hAnsi="宋体" w:eastAsia="宋体" w:cs="宋体"/>
          <w:b/>
          <w:bCs/>
          <w:highlight w:val="none"/>
        </w:rPr>
      </w:pPr>
    </w:p>
    <w:p w14:paraId="5E9A9BD7">
      <w:pPr>
        <w:ind w:firstLine="0" w:firstLineChars="0"/>
        <w:jc w:val="center"/>
        <w:rPr>
          <w:rFonts w:hint="eastAsia" w:ascii="宋体" w:hAnsi="宋体" w:eastAsia="宋体" w:cs="宋体"/>
          <w:b/>
          <w:bCs/>
          <w:sz w:val="26"/>
          <w:highlight w:val="none"/>
        </w:rPr>
      </w:pPr>
    </w:p>
    <w:p w14:paraId="0CC7C96B">
      <w:pPr>
        <w:ind w:firstLine="0" w:firstLineChars="0"/>
        <w:jc w:val="center"/>
        <w:rPr>
          <w:rFonts w:hint="eastAsia" w:ascii="宋体" w:hAnsi="宋体" w:eastAsia="宋体" w:cs="宋体"/>
          <w:b/>
          <w:bCs/>
          <w:sz w:val="26"/>
          <w:highlight w:val="none"/>
        </w:rPr>
      </w:pPr>
    </w:p>
    <w:p w14:paraId="2CFC135D">
      <w:pPr>
        <w:ind w:firstLine="0" w:firstLineChars="0"/>
        <w:jc w:val="center"/>
        <w:rPr>
          <w:rFonts w:hint="eastAsia" w:ascii="宋体" w:hAnsi="宋体" w:eastAsia="宋体" w:cs="宋体"/>
          <w:b/>
          <w:bCs/>
          <w:sz w:val="26"/>
          <w:highlight w:val="none"/>
        </w:rPr>
      </w:pPr>
    </w:p>
    <w:p w14:paraId="7CE666AE">
      <w:pPr>
        <w:ind w:firstLine="0" w:firstLineChars="0"/>
        <w:jc w:val="center"/>
        <w:rPr>
          <w:rFonts w:hint="eastAsia" w:ascii="宋体" w:hAnsi="宋体" w:eastAsia="宋体" w:cs="宋体"/>
          <w:b/>
          <w:bCs/>
          <w:sz w:val="26"/>
          <w:highlight w:val="none"/>
        </w:rPr>
      </w:pPr>
    </w:p>
    <w:p w14:paraId="6B09C4C9">
      <w:pPr>
        <w:ind w:firstLine="0" w:firstLineChars="0"/>
        <w:jc w:val="center"/>
        <w:rPr>
          <w:rFonts w:hint="eastAsia" w:ascii="宋体" w:hAnsi="宋体" w:eastAsia="宋体" w:cs="宋体"/>
          <w:b/>
          <w:bCs/>
          <w:sz w:val="26"/>
          <w:highlight w:val="none"/>
        </w:rPr>
      </w:pPr>
    </w:p>
    <w:p w14:paraId="0FC6C803">
      <w:pPr>
        <w:ind w:firstLine="0" w:firstLineChars="0"/>
        <w:jc w:val="center"/>
        <w:rPr>
          <w:rFonts w:hint="eastAsia" w:ascii="宋体" w:hAnsi="宋体" w:eastAsia="宋体" w:cs="宋体"/>
          <w:b/>
          <w:bCs/>
          <w:sz w:val="26"/>
          <w:highlight w:val="none"/>
        </w:rPr>
      </w:pPr>
    </w:p>
    <w:p w14:paraId="3082F7D7">
      <w:pPr>
        <w:ind w:firstLine="0" w:firstLineChars="0"/>
        <w:jc w:val="center"/>
        <w:rPr>
          <w:rFonts w:hint="eastAsia" w:ascii="宋体" w:hAnsi="宋体" w:eastAsia="宋体" w:cs="宋体"/>
          <w:b/>
          <w:bCs/>
          <w:sz w:val="26"/>
          <w:highlight w:val="none"/>
        </w:rPr>
      </w:pPr>
    </w:p>
    <w:p w14:paraId="3AAB9C39">
      <w:pPr>
        <w:spacing w:before="0" w:after="0"/>
        <w:ind w:firstLine="0" w:firstLineChars="0"/>
        <w:jc w:val="center"/>
        <w:rPr>
          <w:rFonts w:hint="eastAsia" w:ascii="宋体" w:hAnsi="宋体" w:eastAsia="宋体" w:cs="宋体"/>
          <w:b/>
          <w:bCs/>
          <w:sz w:val="30"/>
          <w:szCs w:val="30"/>
          <w:highlight w:val="none"/>
        </w:rPr>
      </w:pPr>
      <w:r>
        <w:rPr>
          <w:rFonts w:hint="eastAsia" w:ascii="宋体" w:hAnsi="宋体" w:eastAsia="宋体" w:cs="宋体"/>
          <w:b/>
          <w:bCs/>
          <w:sz w:val="30"/>
          <w:szCs w:val="30"/>
          <w:highlight w:val="none"/>
        </w:rPr>
        <w:t>《</w:t>
      </w:r>
      <w:r>
        <w:rPr>
          <w:rFonts w:hint="eastAsia" w:ascii="宋体" w:hAnsi="宋体" w:cs="宋体"/>
          <w:b/>
          <w:bCs/>
          <w:sz w:val="30"/>
          <w:szCs w:val="30"/>
          <w:highlight w:val="none"/>
          <w:lang w:val="en-US" w:eastAsia="zh-CN"/>
        </w:rPr>
        <w:t>光伏发电工程概算定额</w:t>
      </w:r>
      <w:r>
        <w:rPr>
          <w:rFonts w:hint="eastAsia" w:ascii="宋体" w:hAnsi="宋体" w:eastAsia="宋体" w:cs="宋体"/>
          <w:b/>
          <w:bCs/>
          <w:sz w:val="30"/>
          <w:szCs w:val="30"/>
          <w:highlight w:val="none"/>
        </w:rPr>
        <w:t>》编制组</w:t>
      </w:r>
    </w:p>
    <w:p w14:paraId="04E5A4AB">
      <w:pPr>
        <w:spacing w:before="0" w:after="156" w:afterLines="50"/>
        <w:ind w:firstLine="0" w:firstLineChars="0"/>
        <w:jc w:val="center"/>
        <w:rPr>
          <w:rFonts w:hint="eastAsia" w:ascii="宋体" w:hAnsi="宋体" w:eastAsia="宋体" w:cs="宋体"/>
          <w:b/>
          <w:bCs/>
          <w:sz w:val="30"/>
          <w:highlight w:val="none"/>
        </w:rPr>
      </w:pPr>
      <w:r>
        <w:rPr>
          <w:rFonts w:hint="eastAsia" w:ascii="宋体" w:hAnsi="宋体" w:eastAsia="宋体" w:cs="宋体"/>
          <w:b/>
          <w:bCs/>
          <w:sz w:val="30"/>
          <w:highlight w:val="none"/>
        </w:rPr>
        <w:t>2025年</w:t>
      </w:r>
      <w:r>
        <w:rPr>
          <w:rFonts w:hint="eastAsia" w:ascii="宋体" w:hAnsi="宋体" w:eastAsia="宋体" w:cs="宋体"/>
          <w:b/>
          <w:bCs/>
          <w:sz w:val="30"/>
          <w:highlight w:val="none"/>
          <w:lang w:val="en-US" w:eastAsia="zh-CN"/>
        </w:rPr>
        <w:t>11</w:t>
      </w:r>
      <w:r>
        <w:rPr>
          <w:rFonts w:hint="eastAsia" w:ascii="宋体" w:hAnsi="宋体" w:eastAsia="宋体" w:cs="宋体"/>
          <w:b/>
          <w:bCs/>
          <w:sz w:val="30"/>
          <w:highlight w:val="none"/>
        </w:rPr>
        <w:t>月</w:t>
      </w:r>
    </w:p>
    <w:p w14:paraId="49AC14AB">
      <w:pPr>
        <w:spacing w:before="0" w:after="156" w:afterLines="50"/>
        <w:ind w:firstLine="0" w:firstLineChars="0"/>
        <w:jc w:val="center"/>
        <w:rPr>
          <w:rFonts w:hint="eastAsia" w:ascii="宋体" w:hAnsi="宋体" w:eastAsia="宋体" w:cs="宋体"/>
          <w:b/>
          <w:bCs/>
          <w:sz w:val="30"/>
          <w:highlight w:val="none"/>
        </w:rPr>
      </w:pPr>
    </w:p>
    <w:p w14:paraId="42319D26">
      <w:pPr>
        <w:spacing w:before="0" w:after="156" w:afterLines="50"/>
        <w:ind w:firstLine="0" w:firstLineChars="0"/>
        <w:jc w:val="center"/>
        <w:rPr>
          <w:rFonts w:hint="eastAsia" w:ascii="宋体" w:hAnsi="宋体" w:eastAsia="宋体" w:cs="宋体"/>
          <w:b/>
          <w:bCs/>
          <w:sz w:val="30"/>
          <w:highlight w:val="none"/>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pPr>
    </w:p>
    <w:sdt>
      <w:sdtPr>
        <w:rPr>
          <w:rFonts w:hint="eastAsia" w:ascii="宋体" w:hAnsi="宋体" w:eastAsia="宋体" w:cs="宋体"/>
          <w:b/>
          <w:bCs/>
          <w:sz w:val="30"/>
          <w:szCs w:val="30"/>
          <w:highlight w:val="none"/>
        </w:rPr>
        <w:id w:val="147475210"/>
        <w15:color w:val="DBDBDB"/>
        <w:docPartObj>
          <w:docPartGallery w:val="Table of Contents"/>
          <w:docPartUnique/>
        </w:docPartObj>
      </w:sdtPr>
      <w:sdtEndPr>
        <w:rPr>
          <w:rFonts w:hint="eastAsia" w:ascii="宋体" w:hAnsi="宋体" w:eastAsia="宋体" w:cs="宋体"/>
          <w:b w:val="0"/>
          <w:bCs w:val="0"/>
          <w:sz w:val="30"/>
          <w:szCs w:val="30"/>
          <w:highlight w:val="none"/>
        </w:rPr>
      </w:sdtEndPr>
      <w:sdtContent>
        <w:p w14:paraId="2B6F8320">
          <w:pPr>
            <w:keepNext w:val="0"/>
            <w:keepLines w:val="0"/>
            <w:pageBreakBefore w:val="0"/>
            <w:widowControl w:val="0"/>
            <w:kinsoku/>
            <w:wordWrap/>
            <w:overflowPunct/>
            <w:topLinePunct w:val="0"/>
            <w:autoSpaceDE/>
            <w:autoSpaceDN/>
            <w:bidi w:val="0"/>
            <w:adjustRightInd/>
            <w:snapToGrid/>
            <w:spacing w:before="313" w:beforeLines="100" w:after="157" w:afterLines="50" w:line="240" w:lineRule="auto"/>
            <w:ind w:firstLine="0" w:firstLineChars="0"/>
            <w:jc w:val="center"/>
            <w:textAlignment w:val="auto"/>
            <w:rPr>
              <w:rFonts w:hint="eastAsia" w:ascii="宋体" w:hAnsi="宋体" w:eastAsia="宋体" w:cs="宋体"/>
              <w:b/>
              <w:bCs/>
              <w:sz w:val="30"/>
              <w:szCs w:val="30"/>
              <w:highlight w:val="none"/>
            </w:rPr>
          </w:pPr>
          <w:r>
            <w:rPr>
              <w:rFonts w:hint="eastAsia" w:ascii="宋体" w:hAnsi="宋体" w:eastAsia="宋体" w:cs="宋体"/>
              <w:b/>
              <w:bCs/>
              <w:sz w:val="30"/>
              <w:szCs w:val="30"/>
              <w:highlight w:val="none"/>
            </w:rPr>
            <w:t>目  次</w:t>
          </w:r>
        </w:p>
        <w:p w14:paraId="53414A7A">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val="0"/>
              <w:highlight w:val="none"/>
            </w:rPr>
            <w:fldChar w:fldCharType="begin"/>
          </w:r>
          <w:r>
            <w:rPr>
              <w:rFonts w:hint="eastAsia" w:ascii="宋体" w:hAnsi="宋体" w:eastAsia="宋体" w:cs="宋体"/>
              <w:b w:val="0"/>
              <w:bCs w:val="0"/>
              <w:highlight w:val="none"/>
            </w:rPr>
            <w:instrText xml:space="preserve">TOC \o "1-2" \h \u </w:instrText>
          </w:r>
          <w:r>
            <w:rPr>
              <w:rFonts w:hint="eastAsia" w:ascii="宋体" w:hAnsi="宋体" w:eastAsia="宋体" w:cs="宋体"/>
              <w:b w:val="0"/>
              <w:bCs w:val="0"/>
              <w:highlight w:val="none"/>
            </w:rPr>
            <w:fldChar w:fldCharType="separate"/>
          </w: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_Toc13620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一、工作简况</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_Toc13620 \h </w:instrText>
          </w:r>
          <w:r>
            <w:rPr>
              <w:rFonts w:hint="eastAsia" w:ascii="宋体" w:hAnsi="宋体" w:eastAsia="宋体" w:cs="宋体"/>
              <w:b w:val="0"/>
              <w:bCs/>
            </w:rPr>
            <w:fldChar w:fldCharType="separate"/>
          </w:r>
          <w:r>
            <w:rPr>
              <w:rFonts w:hint="eastAsia" w:ascii="宋体" w:hAnsi="宋体" w:eastAsia="宋体" w:cs="宋体"/>
              <w:b w:val="0"/>
              <w:bCs/>
            </w:rPr>
            <w:t>2</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1F33ABCF">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_Toc8596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lang w:val="en-US" w:eastAsia="zh-CN"/>
            </w:rPr>
            <w:t xml:space="preserve">1.1 </w:t>
          </w:r>
          <w:r>
            <w:rPr>
              <w:rFonts w:hint="eastAsia" w:ascii="宋体" w:hAnsi="宋体" w:eastAsia="宋体" w:cs="宋体"/>
              <w:b w:val="0"/>
              <w:bCs/>
              <w:szCs w:val="28"/>
              <w:highlight w:val="none"/>
            </w:rPr>
            <w:t>任务来源</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_Toc8596 \h </w:instrText>
          </w:r>
          <w:r>
            <w:rPr>
              <w:rFonts w:hint="eastAsia" w:ascii="宋体" w:hAnsi="宋体" w:eastAsia="宋体" w:cs="宋体"/>
              <w:b w:val="0"/>
              <w:bCs/>
            </w:rPr>
            <w:fldChar w:fldCharType="separate"/>
          </w:r>
          <w:r>
            <w:rPr>
              <w:rFonts w:hint="eastAsia" w:ascii="宋体" w:hAnsi="宋体" w:eastAsia="宋体" w:cs="宋体"/>
              <w:b w:val="0"/>
              <w:bCs/>
            </w:rPr>
            <w:t>2</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777D78B9">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_Toc21288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lang w:val="en-US" w:eastAsia="zh-CN"/>
            </w:rPr>
            <w:t xml:space="preserve">1.2 </w:t>
          </w:r>
          <w:r>
            <w:rPr>
              <w:rFonts w:hint="eastAsia" w:ascii="宋体" w:hAnsi="宋体" w:eastAsia="宋体" w:cs="宋体"/>
              <w:b w:val="0"/>
              <w:bCs/>
              <w:szCs w:val="28"/>
              <w:highlight w:val="none"/>
            </w:rPr>
            <w:t>编制目的及意义</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_Toc21288 \h </w:instrText>
          </w:r>
          <w:r>
            <w:rPr>
              <w:rFonts w:hint="eastAsia" w:ascii="宋体" w:hAnsi="宋体" w:eastAsia="宋体" w:cs="宋体"/>
              <w:b w:val="0"/>
              <w:bCs/>
            </w:rPr>
            <w:fldChar w:fldCharType="separate"/>
          </w:r>
          <w:r>
            <w:rPr>
              <w:rFonts w:hint="eastAsia" w:ascii="宋体" w:hAnsi="宋体" w:eastAsia="宋体" w:cs="宋体"/>
              <w:b w:val="0"/>
              <w:bCs/>
            </w:rPr>
            <w:t>2</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57195D8F">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_Toc4803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lang w:val="en-US" w:eastAsia="zh-CN"/>
            </w:rPr>
            <w:t xml:space="preserve">1.3 </w:t>
          </w:r>
          <w:r>
            <w:rPr>
              <w:rFonts w:hint="eastAsia" w:ascii="宋体" w:hAnsi="宋体" w:eastAsia="宋体" w:cs="宋体"/>
              <w:b w:val="0"/>
              <w:bCs/>
              <w:szCs w:val="28"/>
              <w:highlight w:val="none"/>
            </w:rPr>
            <w:t>主要参加单位及工作组成员</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_Toc4803 \h </w:instrText>
          </w:r>
          <w:r>
            <w:rPr>
              <w:rFonts w:hint="eastAsia" w:ascii="宋体" w:hAnsi="宋体" w:eastAsia="宋体" w:cs="宋体"/>
              <w:b w:val="0"/>
              <w:bCs/>
            </w:rPr>
            <w:fldChar w:fldCharType="separate"/>
          </w:r>
          <w:r>
            <w:rPr>
              <w:rFonts w:hint="eastAsia" w:ascii="宋体" w:hAnsi="宋体" w:eastAsia="宋体" w:cs="宋体"/>
              <w:b w:val="0"/>
              <w:bCs/>
            </w:rPr>
            <w:t>2</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5C9BBDC1">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_Toc28062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lang w:val="en-US" w:eastAsia="zh-CN"/>
            </w:rPr>
            <w:t xml:space="preserve">1.4 </w:t>
          </w:r>
          <w:r>
            <w:rPr>
              <w:rFonts w:hint="eastAsia" w:ascii="宋体" w:hAnsi="宋体" w:eastAsia="宋体" w:cs="宋体"/>
              <w:b w:val="0"/>
              <w:bCs/>
              <w:szCs w:val="28"/>
              <w:highlight w:val="none"/>
            </w:rPr>
            <w:t>主要工作过程</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_Toc28062 \h </w:instrText>
          </w:r>
          <w:r>
            <w:rPr>
              <w:rFonts w:hint="eastAsia" w:ascii="宋体" w:hAnsi="宋体" w:eastAsia="宋体" w:cs="宋体"/>
              <w:b w:val="0"/>
              <w:bCs/>
            </w:rPr>
            <w:fldChar w:fldCharType="separate"/>
          </w:r>
          <w:r>
            <w:rPr>
              <w:rFonts w:hint="eastAsia" w:ascii="宋体" w:hAnsi="宋体" w:eastAsia="宋体" w:cs="宋体"/>
              <w:b w:val="0"/>
              <w:bCs/>
            </w:rPr>
            <w:t>3</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E06E141">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_Toc3059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二、编制原则和主要内容</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_Toc3059 \h </w:instrText>
          </w:r>
          <w:r>
            <w:rPr>
              <w:rFonts w:hint="eastAsia" w:ascii="宋体" w:hAnsi="宋体" w:eastAsia="宋体" w:cs="宋体"/>
              <w:b w:val="0"/>
              <w:bCs/>
            </w:rPr>
            <w:fldChar w:fldCharType="separate"/>
          </w:r>
          <w:r>
            <w:rPr>
              <w:rFonts w:hint="eastAsia" w:ascii="宋体" w:hAnsi="宋体" w:eastAsia="宋体" w:cs="宋体"/>
              <w:b w:val="0"/>
              <w:bCs/>
            </w:rPr>
            <w:t>4</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57ADE860">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_Toc28790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2.1 编制原则</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_Toc28790 \h </w:instrText>
          </w:r>
          <w:r>
            <w:rPr>
              <w:rFonts w:hint="eastAsia" w:ascii="宋体" w:hAnsi="宋体" w:eastAsia="宋体" w:cs="宋体"/>
              <w:b w:val="0"/>
              <w:bCs/>
            </w:rPr>
            <w:fldChar w:fldCharType="separate"/>
          </w:r>
          <w:r>
            <w:rPr>
              <w:rFonts w:hint="eastAsia" w:ascii="宋体" w:hAnsi="宋体" w:eastAsia="宋体" w:cs="宋体"/>
              <w:b w:val="0"/>
              <w:bCs/>
            </w:rPr>
            <w:t>4</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56E1CEDE">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_Toc24540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2.2 编制依据</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_Toc24540 \h </w:instrText>
          </w:r>
          <w:r>
            <w:rPr>
              <w:rFonts w:hint="eastAsia" w:ascii="宋体" w:hAnsi="宋体" w:eastAsia="宋体" w:cs="宋体"/>
              <w:b w:val="0"/>
              <w:bCs/>
            </w:rPr>
            <w:fldChar w:fldCharType="separate"/>
          </w:r>
          <w:r>
            <w:rPr>
              <w:rFonts w:hint="eastAsia" w:ascii="宋体" w:hAnsi="宋体" w:eastAsia="宋体" w:cs="宋体"/>
              <w:b w:val="0"/>
              <w:bCs/>
            </w:rPr>
            <w:t>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51BDD0EC">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_Toc26763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 主要内容</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_Toc26763 \h </w:instrText>
          </w:r>
          <w:r>
            <w:rPr>
              <w:rFonts w:hint="eastAsia" w:ascii="宋体" w:hAnsi="宋体" w:eastAsia="宋体" w:cs="宋体"/>
              <w:b w:val="0"/>
              <w:bCs/>
            </w:rPr>
            <w:fldChar w:fldCharType="separate"/>
          </w:r>
          <w:r>
            <w:rPr>
              <w:rFonts w:hint="eastAsia" w:ascii="宋体" w:hAnsi="宋体" w:eastAsia="宋体" w:cs="宋体"/>
              <w:b w:val="0"/>
              <w:bCs/>
            </w:rPr>
            <w:t>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3924A003">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_Toc202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2.3.1 第1部分</w:t>
          </w:r>
          <w:r>
            <w:rPr>
              <w:rFonts w:hint="eastAsia" w:ascii="宋体" w:hAnsi="宋体" w:eastAsia="宋体" w:cs="宋体"/>
              <w:b w:val="0"/>
              <w:bCs/>
              <w:highlight w:val="none"/>
              <w:lang w:eastAsia="zh-CN"/>
            </w:rPr>
            <w:t>：</w:t>
          </w:r>
          <w:r>
            <w:rPr>
              <w:rFonts w:hint="eastAsia" w:ascii="宋体" w:hAnsi="宋体" w:eastAsia="宋体" w:cs="宋体"/>
              <w:b w:val="0"/>
              <w:bCs/>
              <w:highlight w:val="none"/>
              <w:lang w:val="en-US" w:eastAsia="zh-CN"/>
            </w:rPr>
            <w:t>范围</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_Toc202 \h </w:instrText>
          </w:r>
          <w:r>
            <w:rPr>
              <w:rFonts w:hint="eastAsia" w:ascii="宋体" w:hAnsi="宋体" w:eastAsia="宋体" w:cs="宋体"/>
              <w:b w:val="0"/>
              <w:bCs/>
            </w:rPr>
            <w:fldChar w:fldCharType="separate"/>
          </w:r>
          <w:r>
            <w:rPr>
              <w:rFonts w:hint="eastAsia" w:ascii="宋体" w:hAnsi="宋体" w:eastAsia="宋体" w:cs="宋体"/>
              <w:b w:val="0"/>
              <w:bCs/>
            </w:rPr>
            <w:t>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080848D0">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_Toc15445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w:t>
          </w:r>
          <w:r>
            <w:rPr>
              <w:rFonts w:hint="eastAsia" w:ascii="宋体" w:hAnsi="宋体" w:eastAsia="宋体" w:cs="宋体"/>
              <w:b w:val="0"/>
              <w:bCs/>
              <w:highlight w:val="none"/>
              <w:lang w:val="en-US" w:eastAsia="zh-CN"/>
            </w:rPr>
            <w:t>2</w:t>
          </w:r>
          <w:r>
            <w:rPr>
              <w:rFonts w:hint="eastAsia" w:ascii="宋体" w:hAnsi="宋体" w:eastAsia="宋体" w:cs="宋体"/>
              <w:b w:val="0"/>
              <w:bCs/>
              <w:highlight w:val="none"/>
            </w:rPr>
            <w:t xml:space="preserve"> 第</w:t>
          </w:r>
          <w:r>
            <w:rPr>
              <w:rFonts w:hint="eastAsia" w:ascii="宋体" w:hAnsi="宋体" w:eastAsia="宋体" w:cs="宋体"/>
              <w:b w:val="0"/>
              <w:bCs/>
              <w:highlight w:val="none"/>
              <w:lang w:val="en-US" w:eastAsia="zh-CN"/>
            </w:rPr>
            <w:t>2</w:t>
          </w:r>
          <w:r>
            <w:rPr>
              <w:rFonts w:hint="eastAsia" w:ascii="宋体" w:hAnsi="宋体" w:eastAsia="宋体" w:cs="宋体"/>
              <w:b w:val="0"/>
              <w:bCs/>
              <w:highlight w:val="none"/>
            </w:rPr>
            <w:t>部分</w:t>
          </w:r>
          <w:r>
            <w:rPr>
              <w:rFonts w:hint="eastAsia" w:ascii="宋体" w:hAnsi="宋体" w:eastAsia="宋体" w:cs="宋体"/>
              <w:b w:val="0"/>
              <w:bCs/>
              <w:highlight w:val="none"/>
              <w:lang w:eastAsia="zh-CN"/>
            </w:rPr>
            <w:t>：</w:t>
          </w:r>
          <w:r>
            <w:rPr>
              <w:rFonts w:hint="eastAsia" w:ascii="宋体" w:hAnsi="宋体" w:eastAsia="宋体" w:cs="宋体"/>
              <w:b w:val="0"/>
              <w:bCs/>
              <w:highlight w:val="none"/>
            </w:rPr>
            <w:t>规范性引用文件</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_Toc15445 \h </w:instrText>
          </w:r>
          <w:r>
            <w:rPr>
              <w:rFonts w:hint="eastAsia" w:ascii="宋体" w:hAnsi="宋体" w:eastAsia="宋体" w:cs="宋体"/>
              <w:b w:val="0"/>
              <w:bCs/>
            </w:rPr>
            <w:fldChar w:fldCharType="separate"/>
          </w:r>
          <w:r>
            <w:rPr>
              <w:rFonts w:hint="eastAsia" w:ascii="宋体" w:hAnsi="宋体" w:eastAsia="宋体" w:cs="宋体"/>
              <w:b w:val="0"/>
              <w:bCs/>
            </w:rPr>
            <w:t>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7E26BB6F">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_Toc27467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w:t>
          </w:r>
          <w:r>
            <w:rPr>
              <w:rFonts w:hint="eastAsia" w:ascii="宋体" w:hAnsi="宋体" w:eastAsia="宋体" w:cs="宋体"/>
              <w:b w:val="0"/>
              <w:bCs/>
              <w:highlight w:val="none"/>
              <w:lang w:val="en-US" w:eastAsia="zh-CN"/>
            </w:rPr>
            <w:t xml:space="preserve">3 </w:t>
          </w:r>
          <w:r>
            <w:rPr>
              <w:rFonts w:hint="eastAsia" w:ascii="宋体" w:hAnsi="宋体" w:eastAsia="宋体" w:cs="宋体"/>
              <w:b w:val="0"/>
              <w:bCs/>
              <w:highlight w:val="none"/>
            </w:rPr>
            <w:t>第</w:t>
          </w:r>
          <w:r>
            <w:rPr>
              <w:rFonts w:hint="eastAsia" w:ascii="宋体" w:hAnsi="宋体" w:eastAsia="宋体" w:cs="宋体"/>
              <w:b w:val="0"/>
              <w:bCs/>
              <w:highlight w:val="none"/>
              <w:lang w:val="en-US" w:eastAsia="zh-CN"/>
            </w:rPr>
            <w:t>3</w:t>
          </w:r>
          <w:r>
            <w:rPr>
              <w:rFonts w:hint="eastAsia" w:ascii="宋体" w:hAnsi="宋体" w:eastAsia="宋体" w:cs="宋体"/>
              <w:b w:val="0"/>
              <w:bCs/>
              <w:highlight w:val="none"/>
            </w:rPr>
            <w:t>部分</w:t>
          </w:r>
          <w:r>
            <w:rPr>
              <w:rFonts w:hint="eastAsia" w:ascii="宋体" w:hAnsi="宋体" w:eastAsia="宋体" w:cs="宋体"/>
              <w:b w:val="0"/>
              <w:bCs/>
              <w:highlight w:val="none"/>
              <w:lang w:eastAsia="zh-CN"/>
            </w:rPr>
            <w:t>：</w:t>
          </w:r>
          <w:r>
            <w:rPr>
              <w:rFonts w:hint="eastAsia" w:ascii="宋体" w:hAnsi="宋体" w:eastAsia="宋体" w:cs="宋体"/>
              <w:b w:val="0"/>
              <w:bCs/>
              <w:highlight w:val="none"/>
              <w:lang w:val="en-US" w:eastAsia="zh-CN"/>
            </w:rPr>
            <w:t>术语和定义</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_Toc27467 \h </w:instrText>
          </w:r>
          <w:r>
            <w:rPr>
              <w:rFonts w:hint="eastAsia" w:ascii="宋体" w:hAnsi="宋体" w:eastAsia="宋体" w:cs="宋体"/>
              <w:b w:val="0"/>
              <w:bCs/>
            </w:rPr>
            <w:fldChar w:fldCharType="separate"/>
          </w:r>
          <w:r>
            <w:rPr>
              <w:rFonts w:hint="eastAsia" w:ascii="宋体" w:hAnsi="宋体" w:eastAsia="宋体" w:cs="宋体"/>
              <w:b w:val="0"/>
              <w:bCs/>
            </w:rPr>
            <w:t>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22D6995">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_Toc11866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lang w:val="en-US" w:eastAsia="zh-CN"/>
            </w:rPr>
            <w:t xml:space="preserve">2.3.4 </w:t>
          </w:r>
          <w:r>
            <w:rPr>
              <w:rFonts w:hint="eastAsia" w:ascii="宋体" w:hAnsi="宋体" w:eastAsia="宋体" w:cs="宋体"/>
              <w:b w:val="0"/>
              <w:bCs/>
              <w:highlight w:val="none"/>
            </w:rPr>
            <w:t>第</w:t>
          </w:r>
          <w:r>
            <w:rPr>
              <w:rFonts w:hint="eastAsia" w:ascii="宋体" w:hAnsi="宋体" w:eastAsia="宋体" w:cs="宋体"/>
              <w:b w:val="0"/>
              <w:bCs/>
              <w:highlight w:val="none"/>
              <w:lang w:val="en-US" w:eastAsia="zh-CN"/>
            </w:rPr>
            <w:t>4</w:t>
          </w:r>
          <w:r>
            <w:rPr>
              <w:rFonts w:hint="eastAsia" w:ascii="宋体" w:hAnsi="宋体" w:eastAsia="宋体" w:cs="宋体"/>
              <w:b w:val="0"/>
              <w:bCs/>
              <w:highlight w:val="none"/>
            </w:rPr>
            <w:t>部分</w:t>
          </w:r>
          <w:r>
            <w:rPr>
              <w:rFonts w:hint="eastAsia" w:ascii="宋体" w:hAnsi="宋体" w:eastAsia="宋体" w:cs="宋体"/>
              <w:b w:val="0"/>
              <w:bCs/>
              <w:highlight w:val="none"/>
              <w:lang w:eastAsia="zh-CN"/>
            </w:rPr>
            <w:t>：</w:t>
          </w:r>
          <w:r>
            <w:rPr>
              <w:rFonts w:hint="eastAsia" w:ascii="宋体" w:hAnsi="宋体" w:eastAsia="宋体" w:cs="宋体"/>
              <w:b w:val="0"/>
              <w:bCs/>
              <w:highlight w:val="none"/>
              <w:lang w:val="en-US" w:eastAsia="zh-CN"/>
            </w:rPr>
            <w:t>目标、原则和要求</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_Toc11866 \h </w:instrText>
          </w:r>
          <w:r>
            <w:rPr>
              <w:rFonts w:hint="eastAsia" w:ascii="宋体" w:hAnsi="宋体" w:eastAsia="宋体" w:cs="宋体"/>
              <w:b w:val="0"/>
              <w:bCs/>
            </w:rPr>
            <w:fldChar w:fldCharType="separate"/>
          </w:r>
          <w:r>
            <w:rPr>
              <w:rFonts w:hint="eastAsia" w:ascii="宋体" w:hAnsi="宋体" w:eastAsia="宋体" w:cs="宋体"/>
              <w:b w:val="0"/>
              <w:bCs/>
            </w:rPr>
            <w:t>6</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37E06687">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_Toc22348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lang w:val="en-US" w:eastAsia="zh-CN"/>
            </w:rPr>
            <w:t xml:space="preserve">2.3.5 </w:t>
          </w:r>
          <w:r>
            <w:rPr>
              <w:rFonts w:hint="eastAsia" w:ascii="宋体" w:hAnsi="宋体" w:eastAsia="宋体" w:cs="宋体"/>
              <w:b w:val="0"/>
              <w:bCs/>
              <w:highlight w:val="none"/>
            </w:rPr>
            <w:t>第</w:t>
          </w:r>
          <w:r>
            <w:rPr>
              <w:rFonts w:hint="eastAsia" w:ascii="宋体" w:hAnsi="宋体" w:eastAsia="宋体" w:cs="宋体"/>
              <w:b w:val="0"/>
              <w:bCs/>
              <w:highlight w:val="none"/>
              <w:lang w:val="en-US" w:eastAsia="zh-CN"/>
            </w:rPr>
            <w:t>5</w:t>
          </w:r>
          <w:r>
            <w:rPr>
              <w:rFonts w:hint="eastAsia" w:ascii="宋体" w:hAnsi="宋体" w:eastAsia="宋体" w:cs="宋体"/>
              <w:b w:val="0"/>
              <w:bCs/>
              <w:highlight w:val="none"/>
            </w:rPr>
            <w:t>部分</w:t>
          </w:r>
          <w:r>
            <w:rPr>
              <w:rFonts w:hint="eastAsia" w:ascii="宋体" w:hAnsi="宋体" w:eastAsia="宋体" w:cs="宋体"/>
              <w:b w:val="0"/>
              <w:bCs/>
              <w:highlight w:val="none"/>
              <w:lang w:eastAsia="zh-CN"/>
            </w:rPr>
            <w:t>：</w:t>
          </w:r>
          <w:r>
            <w:rPr>
              <w:rFonts w:hint="eastAsia" w:ascii="宋体" w:hAnsi="宋体" w:eastAsia="宋体" w:cs="宋体"/>
              <w:b w:val="0"/>
              <w:bCs/>
              <w:highlight w:val="none"/>
              <w:lang w:val="en-US" w:eastAsia="zh-CN"/>
            </w:rPr>
            <w:t>结构和说明</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_Toc22348 \h </w:instrText>
          </w:r>
          <w:r>
            <w:rPr>
              <w:rFonts w:hint="eastAsia" w:ascii="宋体" w:hAnsi="宋体" w:eastAsia="宋体" w:cs="宋体"/>
              <w:b w:val="0"/>
              <w:bCs/>
            </w:rPr>
            <w:fldChar w:fldCharType="separate"/>
          </w:r>
          <w:r>
            <w:rPr>
              <w:rFonts w:hint="eastAsia" w:ascii="宋体" w:hAnsi="宋体" w:eastAsia="宋体" w:cs="宋体"/>
              <w:b w:val="0"/>
              <w:bCs/>
            </w:rPr>
            <w:t>6</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34B0DB36">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_Toc8260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w:t>
          </w:r>
          <w:r>
            <w:rPr>
              <w:rFonts w:hint="eastAsia" w:ascii="宋体" w:hAnsi="宋体" w:eastAsia="宋体" w:cs="宋体"/>
              <w:b w:val="0"/>
              <w:bCs/>
              <w:highlight w:val="none"/>
              <w:lang w:val="en-US" w:eastAsia="zh-CN"/>
            </w:rPr>
            <w:t>6</w:t>
          </w:r>
          <w:r>
            <w:rPr>
              <w:rFonts w:hint="eastAsia" w:ascii="宋体" w:hAnsi="宋体" w:eastAsia="宋体" w:cs="宋体"/>
              <w:b w:val="0"/>
              <w:bCs/>
              <w:highlight w:val="none"/>
            </w:rPr>
            <w:t xml:space="preserve"> 第</w:t>
          </w:r>
          <w:r>
            <w:rPr>
              <w:rFonts w:hint="eastAsia" w:ascii="宋体" w:hAnsi="宋体" w:eastAsia="宋体" w:cs="宋体"/>
              <w:b w:val="0"/>
              <w:bCs/>
              <w:highlight w:val="none"/>
              <w:lang w:val="en-US" w:eastAsia="zh-CN"/>
            </w:rPr>
            <w:t>6</w:t>
          </w:r>
          <w:r>
            <w:rPr>
              <w:rFonts w:hint="eastAsia" w:ascii="宋体" w:hAnsi="宋体" w:eastAsia="宋体" w:cs="宋体"/>
              <w:b w:val="0"/>
              <w:bCs/>
              <w:highlight w:val="none"/>
            </w:rPr>
            <w:t>部分：建筑工程定额</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_Toc8260 \h </w:instrText>
          </w:r>
          <w:r>
            <w:rPr>
              <w:rFonts w:hint="eastAsia" w:ascii="宋体" w:hAnsi="宋体" w:eastAsia="宋体" w:cs="宋体"/>
              <w:b w:val="0"/>
              <w:bCs/>
            </w:rPr>
            <w:fldChar w:fldCharType="separate"/>
          </w:r>
          <w:r>
            <w:rPr>
              <w:rFonts w:hint="eastAsia" w:ascii="宋体" w:hAnsi="宋体" w:eastAsia="宋体" w:cs="宋体"/>
              <w:b w:val="0"/>
              <w:bCs/>
            </w:rPr>
            <w:t>6</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0294D33D">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ind w:left="480" w:leftChars="200" w:firstLine="720" w:firstLineChars="300"/>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_Toc27492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rPr>
            <w:t>2.3.7 第7部分：设备安装工程定额</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_Toc27492 \h </w:instrText>
          </w:r>
          <w:r>
            <w:rPr>
              <w:rFonts w:hint="eastAsia" w:ascii="宋体" w:hAnsi="宋体" w:eastAsia="宋体" w:cs="宋体"/>
              <w:b w:val="0"/>
              <w:bCs/>
            </w:rPr>
            <w:fldChar w:fldCharType="separate"/>
          </w:r>
          <w:r>
            <w:rPr>
              <w:rFonts w:hint="eastAsia" w:ascii="宋体" w:hAnsi="宋体" w:eastAsia="宋体" w:cs="宋体"/>
              <w:b w:val="0"/>
              <w:bCs/>
            </w:rPr>
            <w:t>7</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733AA3C7">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_Toc926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三、新旧标准主要技术变化及修订理由</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_Toc926 \h </w:instrText>
          </w:r>
          <w:r>
            <w:rPr>
              <w:rFonts w:hint="eastAsia" w:ascii="宋体" w:hAnsi="宋体" w:eastAsia="宋体" w:cs="宋体"/>
              <w:b w:val="0"/>
              <w:bCs/>
            </w:rPr>
            <w:fldChar w:fldCharType="separate"/>
          </w:r>
          <w:r>
            <w:rPr>
              <w:rFonts w:hint="eastAsia" w:ascii="宋体" w:hAnsi="宋体" w:eastAsia="宋体" w:cs="宋体"/>
              <w:b w:val="0"/>
              <w:bCs/>
            </w:rPr>
            <w:t>8</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25D420E8">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_Toc19217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lang w:val="en-US" w:eastAsia="zh-CN"/>
            </w:rPr>
            <w:t>3</w:t>
          </w:r>
          <w:r>
            <w:rPr>
              <w:rFonts w:hint="eastAsia" w:ascii="宋体" w:hAnsi="宋体" w:eastAsia="宋体" w:cs="宋体"/>
              <w:b w:val="0"/>
              <w:bCs/>
              <w:highlight w:val="none"/>
            </w:rPr>
            <w:t xml:space="preserve">.1 </w:t>
          </w:r>
          <w:r>
            <w:rPr>
              <w:rFonts w:hint="eastAsia" w:ascii="宋体" w:hAnsi="宋体" w:eastAsia="宋体" w:cs="宋体"/>
              <w:b w:val="0"/>
              <w:bCs/>
              <w:highlight w:val="none"/>
              <w:lang w:val="en-US" w:eastAsia="zh-CN"/>
            </w:rPr>
            <w:t>主要技术变化</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_Toc19217 \h </w:instrText>
          </w:r>
          <w:r>
            <w:rPr>
              <w:rFonts w:hint="eastAsia" w:ascii="宋体" w:hAnsi="宋体" w:eastAsia="宋体" w:cs="宋体"/>
              <w:b w:val="0"/>
              <w:bCs/>
            </w:rPr>
            <w:fldChar w:fldCharType="separate"/>
          </w:r>
          <w:r>
            <w:rPr>
              <w:rFonts w:hint="eastAsia" w:ascii="宋体" w:hAnsi="宋体" w:eastAsia="宋体" w:cs="宋体"/>
              <w:b w:val="0"/>
              <w:bCs/>
            </w:rPr>
            <w:t>8</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CD3902A">
          <w:pPr>
            <w:pStyle w:val="24"/>
            <w:keepNext w:val="0"/>
            <w:keepLines w:val="0"/>
            <w:pageBreakBefore w:val="0"/>
            <w:widowControl w:val="0"/>
            <w:tabs>
              <w:tab w:val="right" w:leader="dot" w:pos="9070"/>
              <w:tab w:val="clear" w:pos="9060"/>
            </w:tabs>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_Toc3460 </w:instrText>
          </w:r>
          <w:r>
            <w:rPr>
              <w:rFonts w:hint="eastAsia" w:ascii="宋体" w:hAnsi="宋体" w:eastAsia="宋体" w:cs="宋体"/>
              <w:b w:val="0"/>
              <w:bCs/>
              <w:highlight w:val="none"/>
            </w:rPr>
            <w:fldChar w:fldCharType="separate"/>
          </w:r>
          <w:r>
            <w:rPr>
              <w:rFonts w:hint="eastAsia" w:ascii="宋体" w:hAnsi="宋体" w:eastAsia="宋体" w:cs="宋体"/>
              <w:b w:val="0"/>
              <w:bCs/>
              <w:highlight w:val="none"/>
              <w:lang w:val="en-US" w:eastAsia="zh-CN"/>
            </w:rPr>
            <w:t>3</w:t>
          </w:r>
          <w:r>
            <w:rPr>
              <w:rFonts w:hint="eastAsia" w:ascii="宋体" w:hAnsi="宋体" w:eastAsia="宋体" w:cs="宋体"/>
              <w:b w:val="0"/>
              <w:bCs/>
              <w:highlight w:val="none"/>
            </w:rPr>
            <w:t>.</w:t>
          </w:r>
          <w:r>
            <w:rPr>
              <w:rFonts w:hint="eastAsia" w:ascii="宋体" w:hAnsi="宋体" w:eastAsia="宋体" w:cs="宋体"/>
              <w:b w:val="0"/>
              <w:bCs/>
              <w:highlight w:val="none"/>
              <w:lang w:val="en-US" w:eastAsia="zh-CN"/>
            </w:rPr>
            <w:t>2</w:t>
          </w:r>
          <w:r>
            <w:rPr>
              <w:rFonts w:hint="eastAsia" w:ascii="宋体" w:hAnsi="宋体" w:eastAsia="宋体" w:cs="宋体"/>
              <w:b w:val="0"/>
              <w:bCs/>
              <w:highlight w:val="none"/>
            </w:rPr>
            <w:t xml:space="preserve"> </w:t>
          </w:r>
          <w:r>
            <w:rPr>
              <w:rFonts w:hint="eastAsia" w:ascii="宋体" w:hAnsi="宋体" w:eastAsia="宋体" w:cs="宋体"/>
              <w:b w:val="0"/>
              <w:bCs/>
              <w:highlight w:val="none"/>
              <w:lang w:val="en-US" w:eastAsia="zh-CN"/>
            </w:rPr>
            <w:t>修订理由</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_Toc3460 \h </w:instrText>
          </w:r>
          <w:r>
            <w:rPr>
              <w:rFonts w:hint="eastAsia" w:ascii="宋体" w:hAnsi="宋体" w:eastAsia="宋体" w:cs="宋体"/>
              <w:b w:val="0"/>
              <w:bCs/>
            </w:rPr>
            <w:fldChar w:fldCharType="separate"/>
          </w:r>
          <w:r>
            <w:rPr>
              <w:rFonts w:hint="eastAsia" w:ascii="宋体" w:hAnsi="宋体" w:eastAsia="宋体" w:cs="宋体"/>
              <w:b w:val="0"/>
              <w:bCs/>
            </w:rPr>
            <w:t>13</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08A8F42F">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_Toc24624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四、关键技术问题、主要试验验证情况和预期达到的效果</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_Toc24624 \h </w:instrText>
          </w:r>
          <w:r>
            <w:rPr>
              <w:rFonts w:hint="eastAsia" w:ascii="宋体" w:hAnsi="宋体" w:eastAsia="宋体" w:cs="宋体"/>
              <w:b w:val="0"/>
              <w:bCs/>
            </w:rPr>
            <w:fldChar w:fldCharType="separate"/>
          </w:r>
          <w:r>
            <w:rPr>
              <w:rFonts w:hint="eastAsia" w:ascii="宋体" w:hAnsi="宋体" w:eastAsia="宋体" w:cs="宋体"/>
              <w:b w:val="0"/>
              <w:bCs/>
            </w:rPr>
            <w:t>13</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0885BE40">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_Toc11470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五、与国际、国外先进标准对比情况</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_Toc11470 \h </w:instrText>
          </w:r>
          <w:r>
            <w:rPr>
              <w:rFonts w:hint="eastAsia" w:ascii="宋体" w:hAnsi="宋体" w:eastAsia="宋体" w:cs="宋体"/>
              <w:b w:val="0"/>
              <w:bCs/>
            </w:rPr>
            <w:fldChar w:fldCharType="separate"/>
          </w:r>
          <w:r>
            <w:rPr>
              <w:rFonts w:hint="eastAsia" w:ascii="宋体" w:hAnsi="宋体" w:eastAsia="宋体" w:cs="宋体"/>
              <w:b w:val="0"/>
              <w:bCs/>
            </w:rPr>
            <w:t>13</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2576DC2D">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_Toc257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六、与现行法律、法规、政策及相关标准的协调性</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_Toc257 \h </w:instrText>
          </w:r>
          <w:r>
            <w:rPr>
              <w:rFonts w:hint="eastAsia" w:ascii="宋体" w:hAnsi="宋体" w:eastAsia="宋体" w:cs="宋体"/>
              <w:b w:val="0"/>
              <w:bCs/>
            </w:rPr>
            <w:fldChar w:fldCharType="separate"/>
          </w:r>
          <w:r>
            <w:rPr>
              <w:rFonts w:hint="eastAsia" w:ascii="宋体" w:hAnsi="宋体" w:eastAsia="宋体" w:cs="宋体"/>
              <w:b w:val="0"/>
              <w:bCs/>
            </w:rPr>
            <w:t>13</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5CF6C82">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_Toc32370 </w:instrText>
          </w:r>
          <w:r>
            <w:rPr>
              <w:rFonts w:hint="eastAsia" w:ascii="宋体" w:hAnsi="宋体" w:eastAsia="宋体" w:cs="宋体"/>
              <w:b w:val="0"/>
              <w:bCs/>
              <w:highlight w:val="none"/>
            </w:rPr>
            <w:fldChar w:fldCharType="separate"/>
          </w:r>
          <w:r>
            <w:rPr>
              <w:rFonts w:hint="eastAsia" w:ascii="宋体" w:hAnsi="宋体" w:eastAsia="宋体" w:cs="宋体"/>
              <w:b w:val="0"/>
              <w:bCs/>
              <w:szCs w:val="28"/>
            </w:rPr>
            <w:t xml:space="preserve">七、 </w:t>
          </w:r>
          <w:r>
            <w:rPr>
              <w:rFonts w:hint="eastAsia" w:ascii="宋体" w:hAnsi="宋体" w:eastAsia="宋体" w:cs="宋体"/>
              <w:b w:val="0"/>
              <w:bCs/>
              <w:szCs w:val="28"/>
              <w:highlight w:val="none"/>
            </w:rPr>
            <w:t>重大分歧意见的处理经过和依据</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_Toc32370 \h </w:instrText>
          </w:r>
          <w:r>
            <w:rPr>
              <w:rFonts w:hint="eastAsia" w:ascii="宋体" w:hAnsi="宋体" w:eastAsia="宋体" w:cs="宋体"/>
              <w:b w:val="0"/>
              <w:bCs/>
            </w:rPr>
            <w:fldChar w:fldCharType="separate"/>
          </w:r>
          <w:r>
            <w:rPr>
              <w:rFonts w:hint="eastAsia" w:ascii="宋体" w:hAnsi="宋体" w:eastAsia="宋体" w:cs="宋体"/>
              <w:b w:val="0"/>
              <w:bCs/>
            </w:rPr>
            <w:t>14</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DD9BA26">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_Toc24430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九、贯彻标准的要求和措施建议</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_Toc24430 \h </w:instrText>
          </w:r>
          <w:r>
            <w:rPr>
              <w:rFonts w:hint="eastAsia" w:ascii="宋体" w:hAnsi="宋体" w:eastAsia="宋体" w:cs="宋体"/>
              <w:b w:val="0"/>
              <w:bCs/>
            </w:rPr>
            <w:fldChar w:fldCharType="separate"/>
          </w:r>
          <w:r>
            <w:rPr>
              <w:rFonts w:hint="eastAsia" w:ascii="宋体" w:hAnsi="宋体" w:eastAsia="宋体" w:cs="宋体"/>
              <w:b w:val="0"/>
              <w:bCs/>
            </w:rPr>
            <w:t>14</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6357A00D">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b w:val="0"/>
              <w:bCs/>
            </w:rPr>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_Toc6718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rPr>
            <w:t>十、其他应予说明的事项</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_Toc6718 \h </w:instrText>
          </w:r>
          <w:r>
            <w:rPr>
              <w:rFonts w:hint="eastAsia" w:ascii="宋体" w:hAnsi="宋体" w:eastAsia="宋体" w:cs="宋体"/>
              <w:b w:val="0"/>
              <w:bCs/>
            </w:rPr>
            <w:fldChar w:fldCharType="separate"/>
          </w:r>
          <w:r>
            <w:rPr>
              <w:rFonts w:hint="eastAsia" w:ascii="宋体" w:hAnsi="宋体" w:eastAsia="宋体" w:cs="宋体"/>
              <w:b w:val="0"/>
              <w:bCs/>
            </w:rPr>
            <w:t>14</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44186507">
          <w:pPr>
            <w:pStyle w:val="23"/>
            <w:keepNext w:val="0"/>
            <w:keepLines w:val="0"/>
            <w:pageBreakBefore w:val="0"/>
            <w:widowControl w:val="0"/>
            <w:kinsoku/>
            <w:wordWrap/>
            <w:overflowPunct/>
            <w:topLinePunct w:val="0"/>
            <w:autoSpaceDE/>
            <w:autoSpaceDN/>
            <w:bidi w:val="0"/>
            <w:adjustRightInd/>
            <w:snapToGrid/>
            <w:spacing w:before="0" w:after="0" w:line="360" w:lineRule="auto"/>
            <w:textAlignment w:val="auto"/>
          </w:pPr>
          <w:r>
            <w:rPr>
              <w:rFonts w:hint="eastAsia" w:ascii="宋体" w:hAnsi="宋体" w:eastAsia="宋体" w:cs="宋体"/>
              <w:b w:val="0"/>
              <w:bCs/>
              <w:highlight w:val="none"/>
            </w:rPr>
            <w:fldChar w:fldCharType="begin"/>
          </w:r>
          <w:r>
            <w:rPr>
              <w:rFonts w:hint="eastAsia" w:ascii="宋体" w:hAnsi="宋体" w:eastAsia="宋体" w:cs="宋体"/>
              <w:b w:val="0"/>
              <w:bCs/>
              <w:highlight w:val="none"/>
            </w:rPr>
            <w:instrText xml:space="preserve"> HYPERLINK \l _Toc21364 </w:instrText>
          </w:r>
          <w:r>
            <w:rPr>
              <w:rFonts w:hint="eastAsia" w:ascii="宋体" w:hAnsi="宋体" w:eastAsia="宋体" w:cs="宋体"/>
              <w:b w:val="0"/>
              <w:bCs/>
              <w:highlight w:val="none"/>
            </w:rPr>
            <w:fldChar w:fldCharType="separate"/>
          </w:r>
          <w:r>
            <w:rPr>
              <w:rFonts w:hint="eastAsia" w:ascii="宋体" w:hAnsi="宋体" w:eastAsia="宋体" w:cs="宋体"/>
              <w:b w:val="0"/>
              <w:bCs/>
              <w:szCs w:val="28"/>
              <w:highlight w:val="none"/>
              <w:lang w:val="en-US" w:eastAsia="zh-CN"/>
            </w:rPr>
            <w:t>附件1：国能综通科技〔2022〕96号</w:t>
          </w:r>
          <w:r>
            <w:rPr>
              <w:rFonts w:hint="eastAsia" w:ascii="宋体" w:hAnsi="宋体" w:eastAsia="宋体" w:cs="宋体"/>
              <w:b w:val="0"/>
              <w:bCs/>
            </w:rPr>
            <w:tab/>
          </w:r>
          <w:r>
            <w:rPr>
              <w:rFonts w:hint="eastAsia" w:ascii="宋体" w:hAnsi="宋体" w:eastAsia="宋体" w:cs="宋体"/>
              <w:b w:val="0"/>
              <w:bCs/>
            </w:rPr>
            <w:fldChar w:fldCharType="begin"/>
          </w:r>
          <w:r>
            <w:rPr>
              <w:rFonts w:hint="eastAsia" w:ascii="宋体" w:hAnsi="宋体" w:eastAsia="宋体" w:cs="宋体"/>
              <w:b w:val="0"/>
              <w:bCs/>
            </w:rPr>
            <w:instrText xml:space="preserve"> PAGEREF _Toc21364 \h </w:instrText>
          </w:r>
          <w:r>
            <w:rPr>
              <w:rFonts w:hint="eastAsia" w:ascii="宋体" w:hAnsi="宋体" w:eastAsia="宋体" w:cs="宋体"/>
              <w:b w:val="0"/>
              <w:bCs/>
            </w:rPr>
            <w:fldChar w:fldCharType="separate"/>
          </w:r>
          <w:r>
            <w:rPr>
              <w:rFonts w:hint="eastAsia" w:ascii="宋体" w:hAnsi="宋体" w:eastAsia="宋体" w:cs="宋体"/>
              <w:b w:val="0"/>
              <w:bCs/>
            </w:rPr>
            <w:t>15</w:t>
          </w:r>
          <w:r>
            <w:rPr>
              <w:rFonts w:hint="eastAsia" w:ascii="宋体" w:hAnsi="宋体" w:eastAsia="宋体" w:cs="宋体"/>
              <w:b w:val="0"/>
              <w:bCs/>
            </w:rPr>
            <w:fldChar w:fldCharType="end"/>
          </w:r>
          <w:r>
            <w:rPr>
              <w:rFonts w:hint="eastAsia" w:ascii="宋体" w:hAnsi="宋体" w:eastAsia="宋体" w:cs="宋体"/>
              <w:b w:val="0"/>
              <w:bCs/>
              <w:highlight w:val="none"/>
            </w:rPr>
            <w:fldChar w:fldCharType="end"/>
          </w:r>
        </w:p>
        <w:p w14:paraId="48F0347A">
          <w:pPr>
            <w:pStyle w:val="23"/>
            <w:keepNext w:val="0"/>
            <w:keepLines w:val="0"/>
            <w:pageBreakBefore w:val="0"/>
            <w:widowControl w:val="0"/>
            <w:kinsoku/>
            <w:wordWrap/>
            <w:overflowPunct/>
            <w:topLinePunct w:val="0"/>
            <w:autoSpaceDE/>
            <w:autoSpaceDN/>
            <w:bidi w:val="0"/>
            <w:adjustRightInd/>
            <w:snapToGrid/>
            <w:spacing w:before="0" w:after="0" w:line="360" w:lineRule="auto"/>
            <w:ind w:firstLine="480"/>
            <w:textAlignment w:val="auto"/>
            <w:rPr>
              <w:rFonts w:hint="eastAsia" w:ascii="宋体" w:hAnsi="宋体" w:eastAsia="宋体" w:cs="宋体"/>
              <w:b w:val="0"/>
              <w:bCs w:val="0"/>
              <w:highlight w:val="none"/>
            </w:rPr>
          </w:pPr>
          <w:r>
            <w:rPr>
              <w:rFonts w:hint="eastAsia" w:ascii="宋体" w:hAnsi="宋体" w:eastAsia="宋体" w:cs="宋体"/>
              <w:bCs w:val="0"/>
              <w:highlight w:val="none"/>
            </w:rPr>
            <w:fldChar w:fldCharType="end"/>
          </w:r>
        </w:p>
      </w:sdtContent>
    </w:sdt>
    <w:p w14:paraId="37A7721B">
      <w:pPr>
        <w:rPr>
          <w:rFonts w:hint="eastAsia" w:ascii="宋体" w:hAnsi="宋体" w:eastAsia="宋体" w:cs="宋体"/>
          <w:sz w:val="28"/>
          <w:szCs w:val="28"/>
          <w:highlight w:val="none"/>
        </w:rPr>
      </w:pPr>
      <w:bookmarkStart w:id="1" w:name="_Toc527708180"/>
      <w:bookmarkStart w:id="2" w:name="_Toc14684873"/>
      <w:bookmarkStart w:id="3" w:name="_Toc14685318"/>
      <w:bookmarkStart w:id="4" w:name="_Toc503443840"/>
      <w:bookmarkStart w:id="5" w:name="_Toc14685346"/>
      <w:bookmarkStart w:id="6" w:name="_Toc14685412"/>
      <w:bookmarkStart w:id="7" w:name="_Toc24629"/>
      <w:r>
        <w:rPr>
          <w:rFonts w:hint="eastAsia" w:ascii="宋体" w:hAnsi="宋体" w:eastAsia="宋体" w:cs="宋体"/>
          <w:sz w:val="28"/>
          <w:szCs w:val="28"/>
          <w:highlight w:val="none"/>
        </w:rPr>
        <w:br w:type="page"/>
      </w:r>
    </w:p>
    <w:p w14:paraId="50F68CF1">
      <w:pPr>
        <w:pStyle w:val="2"/>
        <w:spacing w:before="0" w:after="120" w:afterLines="50"/>
        <w:ind w:firstLine="562"/>
        <w:rPr>
          <w:rFonts w:hint="eastAsia" w:ascii="宋体" w:hAnsi="宋体" w:eastAsia="宋体" w:cs="宋体"/>
          <w:sz w:val="28"/>
          <w:szCs w:val="28"/>
          <w:highlight w:val="none"/>
        </w:rPr>
      </w:pPr>
      <w:bookmarkStart w:id="8" w:name="_Toc13620"/>
      <w:r>
        <w:rPr>
          <w:rFonts w:hint="eastAsia" w:ascii="宋体" w:hAnsi="宋体" w:eastAsia="宋体" w:cs="宋体"/>
          <w:sz w:val="28"/>
          <w:szCs w:val="28"/>
          <w:highlight w:val="none"/>
        </w:rPr>
        <w:t>一、</w:t>
      </w:r>
      <w:bookmarkEnd w:id="1"/>
      <w:bookmarkEnd w:id="2"/>
      <w:bookmarkEnd w:id="3"/>
      <w:bookmarkEnd w:id="4"/>
      <w:bookmarkEnd w:id="5"/>
      <w:bookmarkEnd w:id="6"/>
      <w:r>
        <w:rPr>
          <w:rFonts w:hint="eastAsia" w:ascii="宋体" w:hAnsi="宋体" w:eastAsia="宋体" w:cs="宋体"/>
          <w:sz w:val="28"/>
          <w:szCs w:val="28"/>
          <w:highlight w:val="none"/>
        </w:rPr>
        <w:t>工作简况</w:t>
      </w:r>
      <w:bookmarkEnd w:id="7"/>
      <w:bookmarkEnd w:id="8"/>
    </w:p>
    <w:p w14:paraId="7FA48C67">
      <w:pPr>
        <w:ind w:firstLine="562"/>
        <w:outlineLvl w:val="1"/>
        <w:rPr>
          <w:rFonts w:hint="eastAsia" w:ascii="宋体" w:hAnsi="宋体" w:eastAsia="宋体" w:cs="宋体"/>
          <w:b/>
          <w:bCs/>
          <w:sz w:val="28"/>
          <w:szCs w:val="28"/>
          <w:highlight w:val="none"/>
        </w:rPr>
      </w:pPr>
      <w:bookmarkStart w:id="9" w:name="_Toc17981"/>
      <w:bookmarkStart w:id="10" w:name="_Toc8596"/>
      <w:r>
        <w:rPr>
          <w:rFonts w:hint="eastAsia" w:ascii="宋体" w:hAnsi="宋体" w:eastAsia="宋体" w:cs="宋体"/>
          <w:b/>
          <w:bCs/>
          <w:sz w:val="28"/>
          <w:szCs w:val="28"/>
          <w:highlight w:val="none"/>
          <w:lang w:val="en-US" w:eastAsia="zh-CN"/>
        </w:rPr>
        <w:t xml:space="preserve">1.1 </w:t>
      </w:r>
      <w:r>
        <w:rPr>
          <w:rFonts w:hint="eastAsia" w:ascii="宋体" w:hAnsi="宋体" w:eastAsia="宋体" w:cs="宋体"/>
          <w:b/>
          <w:bCs/>
          <w:sz w:val="28"/>
          <w:szCs w:val="28"/>
          <w:highlight w:val="none"/>
        </w:rPr>
        <w:t>任务来源</w:t>
      </w:r>
      <w:bookmarkEnd w:id="9"/>
      <w:bookmarkEnd w:id="10"/>
    </w:p>
    <w:p w14:paraId="552F019F">
      <w:pPr>
        <w:ind w:firstLine="480"/>
        <w:rPr>
          <w:rFonts w:hint="eastAsia" w:ascii="宋体" w:hAnsi="宋体" w:eastAsia="宋体" w:cs="宋体"/>
          <w:highlight w:val="yellow"/>
        </w:rPr>
      </w:pPr>
      <w:r>
        <w:rPr>
          <w:rFonts w:hint="eastAsia" w:ascii="宋体" w:hAnsi="宋体" w:eastAsia="宋体" w:cs="宋体"/>
          <w:color w:val="000000"/>
          <w:highlight w:val="none"/>
        </w:rPr>
        <w:t>202</w:t>
      </w:r>
      <w:r>
        <w:rPr>
          <w:rFonts w:hint="eastAsia" w:ascii="宋体" w:hAnsi="宋体" w:eastAsia="宋体" w:cs="宋体"/>
          <w:color w:val="000000"/>
          <w:highlight w:val="none"/>
          <w:lang w:val="en-US" w:eastAsia="zh-CN"/>
        </w:rPr>
        <w:t>2</w:t>
      </w:r>
      <w:r>
        <w:rPr>
          <w:rFonts w:hint="eastAsia" w:ascii="宋体" w:hAnsi="宋体" w:eastAsia="宋体" w:cs="宋体"/>
          <w:color w:val="000000"/>
          <w:highlight w:val="none"/>
        </w:rPr>
        <w:t>年</w:t>
      </w:r>
      <w:r>
        <w:rPr>
          <w:rFonts w:hint="eastAsia" w:ascii="宋体" w:hAnsi="宋体" w:eastAsia="宋体" w:cs="宋体"/>
          <w:color w:val="000000"/>
          <w:highlight w:val="none"/>
          <w:lang w:val="en-US" w:eastAsia="zh-CN"/>
        </w:rPr>
        <w:t>10</w:t>
      </w:r>
      <w:r>
        <w:rPr>
          <w:rFonts w:hint="eastAsia" w:ascii="宋体" w:hAnsi="宋体" w:eastAsia="宋体" w:cs="宋体"/>
          <w:color w:val="000000"/>
          <w:highlight w:val="none"/>
        </w:rPr>
        <w:t>月</w:t>
      </w:r>
      <w:r>
        <w:rPr>
          <w:rFonts w:hint="eastAsia" w:ascii="宋体" w:hAnsi="宋体" w:eastAsia="宋体" w:cs="宋体"/>
          <w:color w:val="000000"/>
          <w:highlight w:val="none"/>
          <w:lang w:val="en-US" w:eastAsia="zh-CN"/>
        </w:rPr>
        <w:t>8</w:t>
      </w:r>
      <w:r>
        <w:rPr>
          <w:rFonts w:hint="eastAsia" w:ascii="宋体" w:hAnsi="宋体" w:eastAsia="宋体" w:cs="宋体"/>
          <w:color w:val="000000"/>
          <w:highlight w:val="none"/>
        </w:rPr>
        <w:t>日，国家能源局综合司发布了《国家能源局综合司关于下达2022年能源领域行业标准修订计划及外文翻译计划的通知》（国能综通科技〔2022〕96号），明确开展本标准制定（</w:t>
      </w:r>
      <w:r>
        <w:rPr>
          <w:rFonts w:hint="eastAsia" w:ascii="宋体" w:hAnsi="宋体" w:eastAsia="宋体" w:cs="宋体"/>
          <w:highlight w:val="none"/>
        </w:rPr>
        <w:t>计划编号</w:t>
      </w:r>
      <w:r>
        <w:rPr>
          <w:rFonts w:hint="eastAsia" w:ascii="宋体" w:hAnsi="宋体" w:eastAsia="宋体" w:cs="宋体"/>
          <w:highlight w:val="none"/>
          <w:lang w:eastAsia="zh-CN"/>
        </w:rPr>
        <w:t>：</w:t>
      </w:r>
      <w:r>
        <w:rPr>
          <w:rFonts w:hint="eastAsia" w:ascii="宋体" w:hAnsi="宋体" w:eastAsia="宋体" w:cs="宋体"/>
          <w:highlight w:val="none"/>
        </w:rPr>
        <w:t>能源</w:t>
      </w:r>
      <w:r>
        <w:rPr>
          <w:rFonts w:hint="eastAsia" w:ascii="宋体" w:hAnsi="宋体" w:eastAsia="宋体" w:cs="宋体"/>
          <w:highlight w:val="none"/>
          <w:lang w:val="en-US" w:eastAsia="zh-CN"/>
        </w:rPr>
        <w:t>20220805</w:t>
      </w:r>
      <w:r>
        <w:rPr>
          <w:rFonts w:hint="eastAsia" w:ascii="宋体" w:hAnsi="宋体" w:eastAsia="宋体" w:cs="宋体"/>
          <w:color w:val="000000"/>
          <w:highlight w:val="none"/>
        </w:rPr>
        <w:t>）。《</w:t>
      </w:r>
      <w:r>
        <w:rPr>
          <w:rFonts w:hint="eastAsia" w:ascii="宋体" w:hAnsi="宋体" w:cs="宋体"/>
          <w:color w:val="000000"/>
          <w:highlight w:val="none"/>
          <w:lang w:val="en-US" w:eastAsia="zh-CN"/>
        </w:rPr>
        <w:t>光伏发电工程概算定额</w:t>
      </w:r>
      <w:r>
        <w:rPr>
          <w:rFonts w:hint="eastAsia" w:ascii="宋体" w:hAnsi="宋体" w:eastAsia="宋体" w:cs="宋体"/>
          <w:color w:val="000000"/>
          <w:highlight w:val="none"/>
        </w:rPr>
        <w:t>》</w:t>
      </w:r>
      <w:r>
        <w:rPr>
          <w:rFonts w:hint="eastAsia" w:ascii="宋体" w:hAnsi="宋体" w:eastAsia="宋体" w:cs="宋体"/>
          <w:color w:val="000000"/>
          <w:highlight w:val="none"/>
          <w:lang w:val="en-US" w:eastAsia="zh-CN"/>
        </w:rPr>
        <w:t>文件正文部分</w:t>
      </w:r>
      <w:r>
        <w:rPr>
          <w:rFonts w:hint="eastAsia" w:ascii="宋体" w:hAnsi="宋体" w:eastAsia="宋体" w:cs="宋体"/>
          <w:color w:val="000000"/>
          <w:highlight w:val="none"/>
        </w:rPr>
        <w:t>拟由十个部分构成，包括第1部分：</w:t>
      </w:r>
      <w:r>
        <w:rPr>
          <w:rFonts w:hint="eastAsia" w:ascii="宋体" w:hAnsi="宋体" w:eastAsia="宋体" w:cs="宋体"/>
          <w:color w:val="000000"/>
          <w:highlight w:val="none"/>
          <w:lang w:val="en-US" w:eastAsia="zh-CN"/>
        </w:rPr>
        <w:t>范围</w:t>
      </w:r>
      <w:r>
        <w:rPr>
          <w:rFonts w:hint="eastAsia" w:ascii="宋体" w:hAnsi="宋体" w:eastAsia="宋体" w:cs="宋体"/>
          <w:color w:val="000000"/>
          <w:highlight w:val="none"/>
        </w:rPr>
        <w:t>；第2部分：</w:t>
      </w:r>
      <w:r>
        <w:rPr>
          <w:rFonts w:hint="eastAsia" w:ascii="宋体" w:hAnsi="宋体" w:eastAsia="宋体" w:cs="宋体"/>
          <w:color w:val="000000"/>
          <w:highlight w:val="none"/>
          <w:lang w:val="en-US" w:eastAsia="zh-CN"/>
        </w:rPr>
        <w:t>规范性引用文件</w:t>
      </w:r>
      <w:r>
        <w:rPr>
          <w:rFonts w:hint="eastAsia" w:ascii="宋体" w:hAnsi="宋体" w:eastAsia="宋体" w:cs="宋体"/>
          <w:color w:val="000000"/>
          <w:highlight w:val="none"/>
        </w:rPr>
        <w:t>；第3部分：</w:t>
      </w:r>
      <w:r>
        <w:rPr>
          <w:rFonts w:hint="eastAsia" w:ascii="宋体" w:hAnsi="宋体" w:eastAsia="宋体" w:cs="宋体"/>
          <w:color w:val="000000"/>
          <w:highlight w:val="none"/>
          <w:lang w:val="en-US" w:eastAsia="zh-CN"/>
        </w:rPr>
        <w:t>术语和定义</w:t>
      </w:r>
      <w:r>
        <w:rPr>
          <w:rFonts w:hint="eastAsia" w:ascii="宋体" w:hAnsi="宋体" w:eastAsia="宋体" w:cs="宋体"/>
          <w:color w:val="000000"/>
          <w:highlight w:val="none"/>
        </w:rPr>
        <w:t>；第4部分：</w:t>
      </w:r>
      <w:r>
        <w:rPr>
          <w:rFonts w:hint="eastAsia" w:ascii="宋体" w:hAnsi="宋体" w:eastAsia="宋体" w:cs="宋体"/>
          <w:color w:val="000000"/>
          <w:highlight w:val="none"/>
          <w:lang w:val="en-US" w:eastAsia="zh-CN"/>
        </w:rPr>
        <w:t>目标、原则和要求</w:t>
      </w:r>
      <w:r>
        <w:rPr>
          <w:rFonts w:hint="eastAsia" w:ascii="宋体" w:hAnsi="宋体" w:eastAsia="宋体" w:cs="宋体"/>
          <w:color w:val="000000"/>
          <w:highlight w:val="none"/>
        </w:rPr>
        <w:t>；第5部分：</w:t>
      </w:r>
      <w:r>
        <w:rPr>
          <w:rFonts w:hint="eastAsia" w:ascii="宋体" w:hAnsi="宋体" w:eastAsia="宋体" w:cs="宋体"/>
          <w:color w:val="000000"/>
          <w:highlight w:val="none"/>
          <w:lang w:val="en-US" w:eastAsia="zh-CN"/>
        </w:rPr>
        <w:t>结构和说</w:t>
      </w:r>
      <w:r>
        <w:rPr>
          <w:rFonts w:hint="eastAsia" w:ascii="宋体" w:hAnsi="宋体" w:eastAsia="宋体" w:cs="宋体"/>
          <w:color w:val="000000"/>
          <w:highlight w:val="none"/>
        </w:rPr>
        <w:t>；第6部分：</w:t>
      </w:r>
      <w:r>
        <w:rPr>
          <w:rFonts w:hint="eastAsia" w:ascii="宋体" w:hAnsi="宋体" w:eastAsia="宋体" w:cs="宋体"/>
          <w:color w:val="000000"/>
          <w:highlight w:val="none"/>
          <w:lang w:val="en-US" w:eastAsia="zh-CN"/>
        </w:rPr>
        <w:t>建筑工程定额</w:t>
      </w:r>
      <w:r>
        <w:rPr>
          <w:rFonts w:hint="eastAsia" w:ascii="宋体" w:hAnsi="宋体" w:eastAsia="宋体" w:cs="宋体"/>
          <w:color w:val="000000"/>
          <w:highlight w:val="none"/>
        </w:rPr>
        <w:t>；第7部分：</w:t>
      </w:r>
      <w:r>
        <w:rPr>
          <w:rFonts w:hint="eastAsia" w:ascii="宋体" w:hAnsi="宋体" w:eastAsia="宋体" w:cs="宋体"/>
          <w:color w:val="000000"/>
          <w:highlight w:val="none"/>
          <w:lang w:val="en-US" w:eastAsia="zh-CN"/>
        </w:rPr>
        <w:t>设备安装工程定额</w:t>
      </w:r>
      <w:r>
        <w:rPr>
          <w:rFonts w:hint="eastAsia" w:ascii="宋体" w:hAnsi="宋体" w:eastAsia="宋体" w:cs="宋体"/>
          <w:color w:val="000000"/>
          <w:highlight w:val="none"/>
        </w:rPr>
        <w:t>。</w:t>
      </w:r>
      <w:r>
        <w:rPr>
          <w:rFonts w:hint="eastAsia" w:ascii="宋体" w:hAnsi="宋体" w:eastAsia="宋体" w:cs="宋体"/>
          <w:highlight w:val="none"/>
        </w:rPr>
        <w:t>标准化管理机构为水电水利规划设计总院，</w:t>
      </w:r>
      <w:r>
        <w:rPr>
          <w:rFonts w:hint="eastAsia" w:ascii="宋体" w:hAnsi="宋体" w:eastAsia="宋体" w:cs="宋体"/>
          <w:highlight w:val="yellow"/>
        </w:rPr>
        <w:t>技术归口单位为</w:t>
      </w:r>
      <w:r>
        <w:rPr>
          <w:rFonts w:hint="eastAsia" w:ascii="宋体" w:hAnsi="宋体" w:eastAsia="宋体" w:cs="宋体"/>
          <w:highlight w:val="yellow"/>
          <w:lang w:val="en-US" w:eastAsia="zh-CN"/>
        </w:rPr>
        <w:t>水电水利规划设计总院标准化专家组</w:t>
      </w:r>
      <w:r>
        <w:rPr>
          <w:rFonts w:hint="eastAsia" w:ascii="宋体" w:hAnsi="宋体" w:eastAsia="宋体" w:cs="宋体"/>
          <w:highlight w:val="yellow"/>
        </w:rPr>
        <w:t>。</w:t>
      </w:r>
    </w:p>
    <w:p w14:paraId="7829B876">
      <w:pPr>
        <w:ind w:firstLine="562"/>
        <w:outlineLvl w:val="1"/>
        <w:rPr>
          <w:rFonts w:hint="eastAsia" w:ascii="宋体" w:hAnsi="宋体" w:eastAsia="宋体" w:cs="宋体"/>
          <w:b/>
          <w:bCs/>
          <w:sz w:val="28"/>
          <w:szCs w:val="28"/>
          <w:highlight w:val="none"/>
        </w:rPr>
      </w:pPr>
      <w:bookmarkStart w:id="11" w:name="_Toc21288"/>
      <w:r>
        <w:rPr>
          <w:rFonts w:hint="eastAsia" w:ascii="宋体" w:hAnsi="宋体" w:eastAsia="宋体" w:cs="宋体"/>
          <w:b/>
          <w:bCs/>
          <w:sz w:val="28"/>
          <w:szCs w:val="28"/>
          <w:highlight w:val="none"/>
          <w:lang w:val="en-US" w:eastAsia="zh-CN"/>
        </w:rPr>
        <w:t xml:space="preserve">1.2 </w:t>
      </w:r>
      <w:r>
        <w:rPr>
          <w:rFonts w:hint="eastAsia" w:ascii="宋体" w:hAnsi="宋体" w:eastAsia="宋体" w:cs="宋体"/>
          <w:b/>
          <w:bCs/>
          <w:sz w:val="28"/>
          <w:szCs w:val="28"/>
          <w:highlight w:val="none"/>
        </w:rPr>
        <w:t>编制目的及意义</w:t>
      </w:r>
      <w:bookmarkEnd w:id="11"/>
    </w:p>
    <w:p w14:paraId="52A76230">
      <w:pPr>
        <w:ind w:firstLine="480"/>
        <w:rPr>
          <w:rFonts w:hint="eastAsia" w:ascii="宋体" w:hAnsi="宋体" w:eastAsia="宋体" w:cs="宋体"/>
          <w:color w:val="000000"/>
          <w:highlight w:val="none"/>
        </w:rPr>
      </w:pPr>
      <w:r>
        <w:rPr>
          <w:rFonts w:hint="eastAsia" w:ascii="宋体" w:hAnsi="宋体" w:eastAsia="宋体" w:cs="宋体"/>
          <w:color w:val="000000"/>
          <w:highlight w:val="none"/>
        </w:rPr>
        <w:t>《光伏发电工程概算定额》（NB/T 32035-2016）</w:t>
      </w:r>
      <w:r>
        <w:rPr>
          <w:rFonts w:hint="eastAsia" w:ascii="宋体" w:hAnsi="宋体" w:eastAsia="宋体" w:cs="宋体"/>
          <w:color w:val="000000"/>
          <w:highlight w:val="none"/>
          <w:lang w:val="en-US" w:eastAsia="zh-CN"/>
        </w:rPr>
        <w:t>自</w:t>
      </w:r>
      <w:r>
        <w:rPr>
          <w:rFonts w:hint="eastAsia" w:ascii="宋体" w:hAnsi="宋体" w:eastAsia="宋体" w:cs="宋体"/>
          <w:color w:val="000000"/>
          <w:highlight w:val="none"/>
        </w:rPr>
        <w:t>发布以来，历时近</w:t>
      </w:r>
      <w:r>
        <w:rPr>
          <w:rFonts w:hint="eastAsia" w:ascii="宋体" w:hAnsi="宋体" w:eastAsia="宋体" w:cs="宋体"/>
          <w:color w:val="000000"/>
          <w:highlight w:val="none"/>
          <w:lang w:val="en-US" w:eastAsia="zh-CN"/>
        </w:rPr>
        <w:t>九</w:t>
      </w:r>
      <w:r>
        <w:rPr>
          <w:rFonts w:hint="eastAsia" w:ascii="宋体" w:hAnsi="宋体" w:eastAsia="宋体" w:cs="宋体"/>
          <w:color w:val="000000"/>
          <w:highlight w:val="none"/>
        </w:rPr>
        <w:t>年</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在完善光伏发电工程造价标准体系、规范工程投资编制、提升投资管理水平等方面发挥了重要作用。近年来，光伏发电产业快速发展，技术和装备水平显著提升，劳动者收入水平不断提高，同时国家新政策陆续出台，在改善生产条件，加强安全生产等方面提出了新的要求，光伏发电工程项目建设过程中呈现出了一些新特点和新情况。为适应光伏发电工程技术发展新情况以及相关标准的新变化，根据《国家能源局综合司关于下达2022年能源领域行业标准制修订计划及外文版翻译计划的通知》（国能综通科技〔2022〕96号）的要求，文件编制组经深入调查研究，认真总结实践经验，并在广泛征求意见的基础上，修订本文件。本文件将为光伏发电工程前期投资预测和决策、项目审批和行业监督管理、建设期造价管理和合同履约提供更为科学、准确的依据和指导。</w:t>
      </w:r>
    </w:p>
    <w:p w14:paraId="79367C8D">
      <w:pPr>
        <w:ind w:firstLine="562"/>
        <w:outlineLvl w:val="1"/>
        <w:rPr>
          <w:rFonts w:hint="eastAsia" w:ascii="宋体" w:hAnsi="宋体" w:eastAsia="宋体" w:cs="宋体"/>
          <w:b/>
          <w:bCs/>
          <w:sz w:val="28"/>
          <w:szCs w:val="28"/>
          <w:highlight w:val="none"/>
        </w:rPr>
      </w:pPr>
      <w:bookmarkStart w:id="12" w:name="_Toc4803"/>
      <w:bookmarkStart w:id="13" w:name="_Toc5229"/>
      <w:r>
        <w:rPr>
          <w:rFonts w:hint="eastAsia" w:ascii="宋体" w:hAnsi="宋体" w:eastAsia="宋体" w:cs="宋体"/>
          <w:b/>
          <w:bCs/>
          <w:sz w:val="28"/>
          <w:szCs w:val="28"/>
          <w:highlight w:val="none"/>
          <w:lang w:val="en-US" w:eastAsia="zh-CN"/>
        </w:rPr>
        <w:t xml:space="preserve">1.3 </w:t>
      </w:r>
      <w:r>
        <w:rPr>
          <w:rFonts w:hint="eastAsia" w:ascii="宋体" w:hAnsi="宋体" w:eastAsia="宋体" w:cs="宋体"/>
          <w:b/>
          <w:bCs/>
          <w:sz w:val="28"/>
          <w:szCs w:val="28"/>
          <w:highlight w:val="none"/>
        </w:rPr>
        <w:t>主要参加单位及工作组成员</w:t>
      </w:r>
      <w:bookmarkEnd w:id="12"/>
      <w:bookmarkEnd w:id="13"/>
    </w:p>
    <w:p w14:paraId="3229B66F">
      <w:pPr>
        <w:ind w:firstLine="480"/>
        <w:rPr>
          <w:rFonts w:hint="eastAsia" w:ascii="宋体" w:hAnsi="宋体" w:eastAsia="宋体" w:cs="宋体"/>
          <w:color w:val="000000"/>
          <w:highlight w:val="none"/>
          <w:lang w:eastAsia="zh-CN"/>
        </w:rPr>
      </w:pPr>
      <w:r>
        <w:rPr>
          <w:rFonts w:hint="eastAsia" w:ascii="宋体" w:hAnsi="宋体" w:eastAsia="宋体" w:cs="宋体"/>
          <w:color w:val="000000"/>
          <w:highlight w:val="none"/>
          <w:lang w:val="en-US" w:eastAsia="zh-CN"/>
        </w:rPr>
        <w:t>标准</w:t>
      </w:r>
      <w:r>
        <w:rPr>
          <w:rFonts w:hint="eastAsia" w:ascii="宋体" w:hAnsi="宋体" w:eastAsia="宋体" w:cs="宋体"/>
          <w:color w:val="000000"/>
          <w:highlight w:val="none"/>
        </w:rPr>
        <w:t>主编单位：水电水利规划设计总院（可再生能源定额站）、中国电建集团西北勘测设计研究院有限公司</w:t>
      </w:r>
      <w:r>
        <w:rPr>
          <w:rFonts w:hint="eastAsia" w:ascii="宋体" w:hAnsi="宋体" w:eastAsia="宋体" w:cs="宋体"/>
          <w:color w:val="000000"/>
          <w:highlight w:val="none"/>
          <w:lang w:eastAsia="zh-CN"/>
        </w:rPr>
        <w:t>。</w:t>
      </w:r>
    </w:p>
    <w:p w14:paraId="3CC4F967">
      <w:pPr>
        <w:ind w:firstLine="480"/>
        <w:rPr>
          <w:rFonts w:hint="eastAsia" w:ascii="宋体" w:hAnsi="宋体" w:eastAsia="宋体" w:cs="宋体"/>
          <w:color w:val="000000"/>
          <w:highlight w:val="none"/>
        </w:rPr>
      </w:pPr>
      <w:r>
        <w:rPr>
          <w:rFonts w:hint="eastAsia" w:ascii="宋体" w:hAnsi="宋体" w:eastAsia="宋体" w:cs="宋体"/>
          <w:color w:val="000000"/>
          <w:highlight w:val="none"/>
          <w:lang w:val="en-US" w:eastAsia="zh-CN"/>
        </w:rPr>
        <w:t>标准</w:t>
      </w:r>
      <w:r>
        <w:rPr>
          <w:rFonts w:hint="eastAsia" w:ascii="宋体" w:hAnsi="宋体" w:eastAsia="宋体" w:cs="宋体"/>
          <w:color w:val="000000"/>
          <w:highlight w:val="none"/>
        </w:rPr>
        <w:t>参编单位：中国电建集团北京勘测设计研究院有限公司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中国电建集团华东勘测设计研究院有限公司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中国电建集团昆明勘测设计研究院有限公司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中国电建集团中南勘测设计研究院有限公司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中国电建集团成都勘测设计研究院有限公司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中国能源建设集团广东省电力设计研究院有限公司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国家电力投资集团山东电力工程咨询院有限公司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中国水利水电第十二工程局有限公司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中国水利水电第四工程局有限公司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中广核新能源控股有限公司</w:t>
      </w:r>
      <w:r>
        <w:rPr>
          <w:rFonts w:hint="eastAsia" w:ascii="宋体" w:hAnsi="宋体" w:eastAsia="宋体" w:cs="宋体"/>
          <w:color w:val="000000"/>
          <w:highlight w:val="none"/>
          <w:lang w:eastAsia="zh-CN"/>
        </w:rPr>
        <w:t>、</w:t>
      </w:r>
      <w:r>
        <w:rPr>
          <w:rFonts w:hint="eastAsia" w:ascii="宋体" w:hAnsi="宋体" w:eastAsia="宋体" w:cs="宋体"/>
          <w:color w:val="000000"/>
          <w:highlight w:val="none"/>
        </w:rPr>
        <w:t>中电建新能源集团股份有限公司。</w:t>
      </w:r>
    </w:p>
    <w:p w14:paraId="3A2C6EF4">
      <w:pPr>
        <w:ind w:firstLine="480"/>
        <w:rPr>
          <w:rFonts w:hint="eastAsia" w:ascii="宋体" w:hAnsi="宋体" w:eastAsia="宋体" w:cs="宋体"/>
          <w:color w:val="000000"/>
          <w:highlight w:val="yellow"/>
        </w:rPr>
      </w:pPr>
      <w:r>
        <w:rPr>
          <w:rFonts w:hint="eastAsia" w:ascii="宋体" w:hAnsi="宋体" w:eastAsia="宋体" w:cs="宋体"/>
          <w:color w:val="000000"/>
          <w:highlight w:val="yellow"/>
          <w:lang w:val="en-US" w:eastAsia="zh-CN"/>
        </w:rPr>
        <w:t>工作组成员</w:t>
      </w:r>
      <w:r>
        <w:rPr>
          <w:rFonts w:hint="eastAsia" w:ascii="宋体" w:hAnsi="宋体" w:eastAsia="宋体" w:cs="宋体"/>
          <w:color w:val="000000"/>
          <w:highlight w:val="yellow"/>
        </w:rPr>
        <w:t>：</w:t>
      </w:r>
    </w:p>
    <w:p w14:paraId="0C264F74">
      <w:pPr>
        <w:widowControl/>
        <w:spacing w:before="0" w:after="0" w:line="240" w:lineRule="auto"/>
        <w:ind w:firstLine="420" w:firstLineChars="0"/>
        <w:jc w:val="left"/>
        <w:rPr>
          <w:rFonts w:hint="eastAsia" w:ascii="宋体" w:hAnsi="宋体" w:eastAsia="宋体" w:cs="宋体"/>
          <w:color w:val="000000"/>
          <w:highlight w:val="none"/>
          <w:lang w:val="en-US" w:eastAsia="zh-CN"/>
        </w:rPr>
      </w:pPr>
      <w:r>
        <w:rPr>
          <w:rFonts w:hint="eastAsia" w:ascii="宋体" w:hAnsi="宋体" w:eastAsia="宋体" w:cs="宋体"/>
          <w:color w:val="000000"/>
          <w:highlight w:val="none"/>
          <w:lang w:val="en-US" w:eastAsia="zh-CN"/>
        </w:rPr>
        <w:t>各单位具体职责如下：</w:t>
      </w:r>
    </w:p>
    <w:p w14:paraId="60957C11">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b/>
          <w:bCs/>
          <w:color w:val="000000"/>
          <w:highlight w:val="none"/>
        </w:rPr>
      </w:pPr>
      <w:r>
        <w:rPr>
          <w:rFonts w:hint="eastAsia" w:ascii="宋体" w:hAnsi="宋体" w:eastAsia="宋体" w:cs="宋体"/>
          <w:b/>
          <w:bCs/>
          <w:color w:val="000000"/>
          <w:highlight w:val="none"/>
        </w:rPr>
        <w:t>表1.1  工作组分工</w:t>
      </w:r>
    </w:p>
    <w:tbl>
      <w:tblPr>
        <w:tblStyle w:val="30"/>
        <w:tblpPr w:leftFromText="180" w:rightFromText="180" w:vertAnchor="text" w:horzAnchor="page" w:tblpX="1504" w:tblpY="94"/>
        <w:tblOverlap w:val="never"/>
        <w:tblW w:w="8958" w:type="dxa"/>
        <w:tblInd w:w="0"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Layout w:type="fixed"/>
        <w:tblCellMar>
          <w:top w:w="0" w:type="dxa"/>
          <w:left w:w="0" w:type="dxa"/>
          <w:bottom w:w="0" w:type="dxa"/>
          <w:right w:w="0" w:type="dxa"/>
        </w:tblCellMar>
      </w:tblPr>
      <w:tblGrid>
        <w:gridCol w:w="1310"/>
        <w:gridCol w:w="3740"/>
        <w:gridCol w:w="3908"/>
      </w:tblGrid>
      <w:tr w14:paraId="59F04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520" w:hRule="atLeast"/>
        </w:trPr>
        <w:tc>
          <w:tcPr>
            <w:tcW w:w="1310" w:type="dxa"/>
            <w:tcBorders>
              <w:top w:val="single" w:color="auto" w:sz="12" w:space="0"/>
              <w:left w:val="single" w:color="auto" w:sz="12" w:space="0"/>
              <w:bottom w:val="single" w:color="auto" w:sz="6" w:space="0"/>
              <w:right w:val="single" w:color="auto" w:sz="6" w:space="0"/>
            </w:tcBorders>
            <w:shd w:val="clear" w:color="auto" w:fill="auto"/>
            <w:vAlign w:val="center"/>
          </w:tcPr>
          <w:p w14:paraId="6EF13E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color w:val="FF0000"/>
                <w:spacing w:val="5"/>
                <w:sz w:val="21"/>
                <w:szCs w:val="18"/>
                <w:lang w:val="en-US"/>
              </w:rPr>
            </w:pPr>
            <w:bookmarkStart w:id="14" w:name="_Toc24696"/>
            <w:bookmarkStart w:id="15" w:name="_Toc14685325"/>
            <w:bookmarkStart w:id="16" w:name="_Toc14684880"/>
            <w:bookmarkStart w:id="17" w:name="_Toc14685419"/>
            <w:bookmarkStart w:id="18" w:name="_Toc527708187"/>
            <w:bookmarkStart w:id="19" w:name="_Toc14685353"/>
            <w:r>
              <w:rPr>
                <w:rFonts w:hint="eastAsia" w:ascii="宋体" w:hAnsi="宋体" w:eastAsia="宋体" w:cs="宋体"/>
                <w:b/>
                <w:bCs w:val="0"/>
                <w:spacing w:val="5"/>
                <w:kern w:val="2"/>
                <w:sz w:val="21"/>
                <w:szCs w:val="21"/>
                <w:lang w:val="en-US" w:eastAsia="zh-CN" w:bidi="ar"/>
              </w:rPr>
              <w:t>序号</w:t>
            </w:r>
          </w:p>
        </w:tc>
        <w:tc>
          <w:tcPr>
            <w:tcW w:w="3740" w:type="dxa"/>
            <w:tcBorders>
              <w:top w:val="single" w:color="auto" w:sz="12" w:space="0"/>
              <w:left w:val="single" w:color="auto" w:sz="6" w:space="0"/>
              <w:bottom w:val="single" w:color="auto" w:sz="6" w:space="0"/>
              <w:right w:val="single" w:color="auto" w:sz="6" w:space="0"/>
            </w:tcBorders>
            <w:shd w:val="clear" w:color="auto" w:fill="auto"/>
            <w:vAlign w:val="center"/>
          </w:tcPr>
          <w:p w14:paraId="30665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color w:val="FF0000"/>
                <w:spacing w:val="5"/>
                <w:sz w:val="21"/>
                <w:szCs w:val="18"/>
                <w:lang w:val="en-US"/>
              </w:rPr>
            </w:pPr>
            <w:r>
              <w:rPr>
                <w:rFonts w:hint="eastAsia" w:ascii="宋体" w:hAnsi="宋体" w:eastAsia="宋体" w:cs="宋体"/>
                <w:b/>
                <w:bCs w:val="0"/>
                <w:spacing w:val="5"/>
                <w:kern w:val="2"/>
                <w:sz w:val="21"/>
                <w:szCs w:val="21"/>
                <w:lang w:val="en-US" w:eastAsia="zh-CN" w:bidi="ar"/>
              </w:rPr>
              <w:t>定额章节</w:t>
            </w:r>
          </w:p>
        </w:tc>
        <w:tc>
          <w:tcPr>
            <w:tcW w:w="3908" w:type="dxa"/>
            <w:tcBorders>
              <w:top w:val="single" w:color="auto" w:sz="12" w:space="0"/>
              <w:left w:val="single" w:color="auto" w:sz="6" w:space="0"/>
              <w:bottom w:val="single" w:color="auto" w:sz="6" w:space="0"/>
              <w:right w:val="single" w:color="auto" w:sz="12" w:space="0"/>
            </w:tcBorders>
            <w:shd w:val="clear" w:color="auto" w:fill="auto"/>
            <w:vAlign w:val="center"/>
          </w:tcPr>
          <w:p w14:paraId="51C61D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color w:val="FF0000"/>
                <w:spacing w:val="5"/>
                <w:sz w:val="21"/>
                <w:szCs w:val="18"/>
                <w:lang w:val="en-US"/>
              </w:rPr>
            </w:pPr>
            <w:r>
              <w:rPr>
                <w:rFonts w:hint="eastAsia" w:ascii="宋体" w:hAnsi="宋体" w:eastAsia="宋体" w:cs="宋体"/>
                <w:b/>
                <w:bCs w:val="0"/>
                <w:spacing w:val="5"/>
                <w:kern w:val="2"/>
                <w:sz w:val="21"/>
                <w:szCs w:val="21"/>
                <w:lang w:val="en-US" w:eastAsia="zh-CN" w:bidi="ar"/>
              </w:rPr>
              <w:t>编制单位</w:t>
            </w:r>
          </w:p>
        </w:tc>
      </w:tr>
      <w:tr w14:paraId="29C0352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3D1576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21"/>
                <w:szCs w:val="21"/>
                <w:lang w:val="en-US" w:eastAsia="zh-CN" w:bidi="ar"/>
              </w:rPr>
              <w:t>一</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324063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21"/>
                <w:szCs w:val="21"/>
                <w:lang w:val="en-US" w:eastAsia="zh-CN" w:bidi="ar"/>
              </w:rPr>
              <w:t>建筑工程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4CCBE1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p>
        </w:tc>
      </w:tr>
      <w:tr w14:paraId="413BBE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477"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3CEE5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A</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6D2681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土石方工程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5978F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陆上：中南院、四局；水上（含海上）：华东院、十二局、广东电力院</w:t>
            </w:r>
          </w:p>
        </w:tc>
      </w:tr>
      <w:tr w14:paraId="29EA70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579"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154200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B</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6E75D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地基处理工程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61FE24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陆上：中南院、四局、水上：华东院、十二局</w:t>
            </w:r>
          </w:p>
        </w:tc>
      </w:tr>
      <w:tr w14:paraId="30D7CB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5107B3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C</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5C0ADE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砌筑工程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79976B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昆明院</w:t>
            </w:r>
          </w:p>
        </w:tc>
      </w:tr>
      <w:tr w14:paraId="05A000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7BDDD2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D</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36A188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混凝土工程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4A160B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西北院、四局</w:t>
            </w:r>
          </w:p>
        </w:tc>
      </w:tr>
      <w:tr w14:paraId="3C613F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4" w:space="0"/>
              <w:left w:val="single" w:color="auto" w:sz="12" w:space="0"/>
              <w:bottom w:val="single" w:color="auto" w:sz="4" w:space="0"/>
              <w:right w:val="single" w:color="auto" w:sz="4" w:space="0"/>
            </w:tcBorders>
            <w:shd w:val="clear" w:color="auto" w:fill="auto"/>
            <w:vAlign w:val="center"/>
          </w:tcPr>
          <w:p w14:paraId="08EBAB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E</w:t>
            </w:r>
          </w:p>
        </w:tc>
        <w:tc>
          <w:tcPr>
            <w:tcW w:w="3740" w:type="dxa"/>
            <w:tcBorders>
              <w:top w:val="single" w:color="auto" w:sz="4" w:space="0"/>
              <w:left w:val="single" w:color="auto" w:sz="4" w:space="0"/>
              <w:bottom w:val="single" w:color="auto" w:sz="4" w:space="0"/>
              <w:right w:val="single" w:color="auto" w:sz="4" w:space="0"/>
            </w:tcBorders>
            <w:shd w:val="clear" w:color="auto" w:fill="auto"/>
            <w:vAlign w:val="center"/>
          </w:tcPr>
          <w:p w14:paraId="6C513C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金属结构工程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4B0D6F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北京院</w:t>
            </w:r>
          </w:p>
        </w:tc>
      </w:tr>
      <w:tr w14:paraId="4A6ABF2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503F48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F</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68E434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室内外装饰工程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5512B1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成都院</w:t>
            </w:r>
          </w:p>
        </w:tc>
      </w:tr>
      <w:tr w14:paraId="541A44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576" w:hRule="atLeast"/>
        </w:trPr>
        <w:tc>
          <w:tcPr>
            <w:tcW w:w="1310" w:type="dxa"/>
            <w:tcBorders>
              <w:top w:val="single" w:color="auto" w:sz="4" w:space="0"/>
              <w:left w:val="single" w:color="auto" w:sz="12" w:space="0"/>
              <w:bottom w:val="single" w:color="auto" w:sz="4" w:space="0"/>
              <w:right w:val="single" w:color="auto" w:sz="4" w:space="0"/>
            </w:tcBorders>
            <w:shd w:val="clear" w:color="auto" w:fill="auto"/>
            <w:vAlign w:val="center"/>
          </w:tcPr>
          <w:p w14:paraId="57E8FC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G</w:t>
            </w:r>
          </w:p>
        </w:tc>
        <w:tc>
          <w:tcPr>
            <w:tcW w:w="3740" w:type="dxa"/>
            <w:tcBorders>
              <w:top w:val="single" w:color="auto" w:sz="4" w:space="0"/>
              <w:left w:val="single" w:color="auto" w:sz="4" w:space="0"/>
              <w:bottom w:val="single" w:color="auto" w:sz="4" w:space="0"/>
              <w:right w:val="single" w:color="auto" w:sz="4" w:space="0"/>
            </w:tcBorders>
            <w:shd w:val="clear" w:color="auto" w:fill="auto"/>
            <w:vAlign w:val="center"/>
          </w:tcPr>
          <w:p w14:paraId="34C051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给排水、采暖通风、照明及消防工程</w:t>
            </w:r>
          </w:p>
        </w:tc>
        <w:tc>
          <w:tcPr>
            <w:tcW w:w="3908" w:type="dxa"/>
            <w:tcBorders>
              <w:top w:val="single" w:color="auto" w:sz="4" w:space="0"/>
              <w:left w:val="single" w:color="auto" w:sz="4" w:space="0"/>
              <w:bottom w:val="single" w:color="auto" w:sz="4" w:space="0"/>
              <w:right w:val="single" w:color="auto" w:sz="12" w:space="0"/>
            </w:tcBorders>
            <w:shd w:val="clear" w:color="auto" w:fill="auto"/>
            <w:vAlign w:val="center"/>
          </w:tcPr>
          <w:p w14:paraId="3E91CD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山东电力院</w:t>
            </w:r>
          </w:p>
        </w:tc>
      </w:tr>
      <w:tr w14:paraId="077E25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93"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35668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H</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128F9E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22"/>
                <w:szCs w:val="22"/>
                <w:lang w:val="en-US"/>
              </w:rPr>
            </w:pPr>
            <w:r>
              <w:rPr>
                <w:rFonts w:hint="eastAsia" w:ascii="宋体" w:hAnsi="宋体" w:eastAsia="宋体" w:cs="宋体"/>
                <w:bCs/>
                <w:spacing w:val="5"/>
                <w:kern w:val="2"/>
                <w:sz w:val="18"/>
                <w:szCs w:val="18"/>
                <w:lang w:val="en-US" w:eastAsia="zh-CN" w:bidi="ar"/>
              </w:rPr>
              <w:t>站区室外工程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41A6C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北京院</w:t>
            </w:r>
          </w:p>
        </w:tc>
      </w:tr>
      <w:tr w14:paraId="743B87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2B8BA2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J</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041FF5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道路工程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5C1D8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color w:val="FF0000"/>
                <w:spacing w:val="5"/>
                <w:sz w:val="18"/>
                <w:szCs w:val="18"/>
                <w:lang w:val="en-US"/>
              </w:rPr>
            </w:pPr>
            <w:r>
              <w:rPr>
                <w:rFonts w:hint="eastAsia" w:ascii="宋体" w:hAnsi="宋体" w:eastAsia="宋体" w:cs="宋体"/>
                <w:bCs/>
                <w:spacing w:val="5"/>
                <w:kern w:val="2"/>
                <w:sz w:val="18"/>
                <w:szCs w:val="18"/>
                <w:lang w:val="en-US" w:eastAsia="zh-CN" w:bidi="ar"/>
              </w:rPr>
              <w:t>中南院</w:t>
            </w:r>
          </w:p>
        </w:tc>
      </w:tr>
      <w:tr w14:paraId="2E4C45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6BB711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kern w:val="2"/>
                <w:sz w:val="18"/>
                <w:szCs w:val="18"/>
                <w:lang w:val="en-US" w:eastAsia="zh-CN" w:bidi="ar"/>
              </w:rPr>
            </w:pPr>
            <w:r>
              <w:rPr>
                <w:rFonts w:hint="eastAsia" w:ascii="宋体" w:hAnsi="宋体" w:eastAsia="宋体" w:cs="宋体"/>
                <w:bCs/>
                <w:spacing w:val="5"/>
                <w:kern w:val="2"/>
                <w:sz w:val="18"/>
                <w:szCs w:val="18"/>
                <w:lang w:val="en-US" w:eastAsia="zh-CN" w:bidi="ar"/>
              </w:rPr>
              <w:t>K</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7A4CF3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kern w:val="2"/>
                <w:sz w:val="18"/>
                <w:szCs w:val="18"/>
                <w:lang w:val="en-US" w:eastAsia="zh-CN" w:bidi="ar"/>
              </w:rPr>
            </w:pPr>
            <w:r>
              <w:rPr>
                <w:rFonts w:hint="eastAsia" w:ascii="宋体" w:hAnsi="宋体" w:eastAsia="宋体" w:cs="宋体"/>
                <w:bCs/>
                <w:spacing w:val="5"/>
                <w:kern w:val="2"/>
                <w:sz w:val="18"/>
                <w:szCs w:val="18"/>
                <w:lang w:val="en-US" w:eastAsia="zh-CN" w:bidi="ar"/>
              </w:rPr>
              <w:t>措施工程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38D159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kern w:val="2"/>
                <w:sz w:val="18"/>
                <w:szCs w:val="18"/>
                <w:lang w:val="en-US" w:eastAsia="zh-CN" w:bidi="ar"/>
              </w:rPr>
            </w:pPr>
            <w:r>
              <w:rPr>
                <w:rFonts w:hint="eastAsia" w:ascii="宋体" w:hAnsi="宋体" w:eastAsia="宋体" w:cs="宋体"/>
                <w:bCs/>
                <w:spacing w:val="5"/>
                <w:kern w:val="2"/>
                <w:sz w:val="18"/>
                <w:szCs w:val="18"/>
                <w:lang w:val="en-US" w:eastAsia="zh-CN" w:bidi="ar"/>
              </w:rPr>
              <w:t>西北院</w:t>
            </w:r>
          </w:p>
        </w:tc>
      </w:tr>
      <w:tr w14:paraId="7C5BF5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1E3B8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21"/>
                <w:szCs w:val="21"/>
                <w:lang w:val="en-US"/>
              </w:rPr>
            </w:pPr>
            <w:r>
              <w:rPr>
                <w:rFonts w:hint="eastAsia" w:ascii="宋体" w:hAnsi="宋体" w:eastAsia="宋体" w:cs="宋体"/>
                <w:bCs/>
                <w:spacing w:val="5"/>
                <w:kern w:val="2"/>
                <w:sz w:val="21"/>
                <w:szCs w:val="21"/>
                <w:lang w:val="en-US" w:eastAsia="zh-CN" w:bidi="ar"/>
              </w:rPr>
              <w:t>二</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3C7AD8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21"/>
                <w:szCs w:val="21"/>
                <w:lang w:val="en-US"/>
              </w:rPr>
            </w:pPr>
            <w:r>
              <w:rPr>
                <w:rFonts w:hint="eastAsia" w:ascii="宋体" w:hAnsi="宋体" w:eastAsia="宋体" w:cs="宋体"/>
                <w:bCs/>
                <w:spacing w:val="5"/>
                <w:kern w:val="2"/>
                <w:sz w:val="21"/>
                <w:szCs w:val="21"/>
                <w:lang w:val="en-US" w:eastAsia="zh-CN" w:bidi="ar"/>
              </w:rPr>
              <w:t>安装工程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7381F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21"/>
                <w:szCs w:val="21"/>
                <w:lang w:val="en-US"/>
              </w:rPr>
            </w:pPr>
          </w:p>
        </w:tc>
      </w:tr>
      <w:tr w14:paraId="79AD31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969"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44F763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L</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7178F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发电场设备安装工程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223E7B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陆上集中：西北院、四局</w:t>
            </w:r>
          </w:p>
          <w:p w14:paraId="040614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陆上分布：北京院</w:t>
            </w:r>
          </w:p>
          <w:p w14:paraId="0298B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水上：华东院、十二局、广东电力院</w:t>
            </w:r>
          </w:p>
        </w:tc>
      </w:tr>
      <w:tr w14:paraId="738DD2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5154C0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M</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1B7495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升压站设备安装工程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5A5BE3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广东电力院</w:t>
            </w:r>
          </w:p>
        </w:tc>
      </w:tr>
      <w:tr w14:paraId="6F4A41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76752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N</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2792B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电缆及母线安装工程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660505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广东电力院</w:t>
            </w:r>
          </w:p>
        </w:tc>
      </w:tr>
      <w:tr w14:paraId="656A07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18CE6E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P</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452366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架空线路工程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44249E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昆明院</w:t>
            </w:r>
          </w:p>
        </w:tc>
      </w:tr>
      <w:tr w14:paraId="702165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6CC74C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Q</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75EB61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接地安装工程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260F42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北京院</w:t>
            </w:r>
          </w:p>
        </w:tc>
      </w:tr>
      <w:tr w14:paraId="3EAB5DD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25C06D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R</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7844A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站区照明工程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011EE6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北京院</w:t>
            </w:r>
          </w:p>
        </w:tc>
      </w:tr>
      <w:tr w14:paraId="3315AF6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77"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5C922A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S</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4984D5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调试及试验工程</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2BDCE2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山东电力院</w:t>
            </w:r>
          </w:p>
        </w:tc>
      </w:tr>
      <w:tr w14:paraId="48DFF1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385"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4D4285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spacing w:val="5"/>
                <w:sz w:val="21"/>
                <w:szCs w:val="21"/>
                <w:lang w:val="en-US"/>
              </w:rPr>
            </w:pPr>
            <w:r>
              <w:rPr>
                <w:rFonts w:hint="eastAsia" w:ascii="宋体" w:hAnsi="宋体" w:eastAsia="宋体" w:cs="宋体"/>
                <w:b/>
                <w:bCs w:val="0"/>
                <w:spacing w:val="5"/>
                <w:kern w:val="2"/>
                <w:sz w:val="21"/>
                <w:szCs w:val="21"/>
                <w:lang w:val="en-US" w:eastAsia="zh-CN" w:bidi="ar"/>
              </w:rPr>
              <w:t>三</w:t>
            </w: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4871D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spacing w:val="5"/>
                <w:sz w:val="21"/>
                <w:szCs w:val="21"/>
                <w:lang w:val="en-US"/>
              </w:rPr>
            </w:pPr>
            <w:r>
              <w:rPr>
                <w:rFonts w:hint="eastAsia" w:ascii="宋体" w:hAnsi="宋体" w:eastAsia="宋体" w:cs="宋体"/>
                <w:b/>
                <w:bCs w:val="0"/>
                <w:spacing w:val="5"/>
                <w:kern w:val="2"/>
                <w:sz w:val="21"/>
                <w:szCs w:val="21"/>
                <w:lang w:val="en-US" w:eastAsia="zh-CN" w:bidi="ar"/>
              </w:rPr>
              <w:t>施工机械台班费定额</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0CD2FA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21"/>
                <w:szCs w:val="21"/>
                <w:lang w:val="en-US"/>
              </w:rPr>
            </w:pPr>
          </w:p>
        </w:tc>
      </w:tr>
      <w:tr w14:paraId="4972DF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shd w:val="clear" w:color="auto" w:fill="auto"/>
          <w:tblCellMar>
            <w:top w:w="0" w:type="dxa"/>
            <w:left w:w="0" w:type="dxa"/>
            <w:bottom w:w="0" w:type="dxa"/>
            <w:right w:w="0" w:type="dxa"/>
          </w:tblCellMar>
        </w:tblPrEx>
        <w:trPr>
          <w:trHeight w:val="417" w:hRule="atLeast"/>
        </w:trPr>
        <w:tc>
          <w:tcPr>
            <w:tcW w:w="1310" w:type="dxa"/>
            <w:tcBorders>
              <w:top w:val="single" w:color="auto" w:sz="6" w:space="0"/>
              <w:left w:val="single" w:color="auto" w:sz="12" w:space="0"/>
              <w:bottom w:val="single" w:color="auto" w:sz="6" w:space="0"/>
              <w:right w:val="single" w:color="auto" w:sz="6" w:space="0"/>
            </w:tcBorders>
            <w:shd w:val="clear" w:color="auto" w:fill="auto"/>
            <w:vAlign w:val="center"/>
          </w:tcPr>
          <w:p w14:paraId="1B7E72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p>
        </w:tc>
        <w:tc>
          <w:tcPr>
            <w:tcW w:w="3740" w:type="dxa"/>
            <w:tcBorders>
              <w:top w:val="single" w:color="auto" w:sz="6" w:space="0"/>
              <w:left w:val="single" w:color="auto" w:sz="6" w:space="0"/>
              <w:bottom w:val="single" w:color="auto" w:sz="6" w:space="0"/>
              <w:right w:val="single" w:color="auto" w:sz="6" w:space="0"/>
            </w:tcBorders>
            <w:shd w:val="clear" w:color="auto" w:fill="auto"/>
            <w:vAlign w:val="center"/>
          </w:tcPr>
          <w:p w14:paraId="158CC6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施工机械台班费定额</w:t>
            </w:r>
          </w:p>
        </w:tc>
        <w:tc>
          <w:tcPr>
            <w:tcW w:w="3908" w:type="dxa"/>
            <w:tcBorders>
              <w:top w:val="single" w:color="auto" w:sz="6" w:space="0"/>
              <w:left w:val="single" w:color="auto" w:sz="6" w:space="0"/>
              <w:bottom w:val="single" w:color="auto" w:sz="6" w:space="0"/>
              <w:right w:val="single" w:color="auto" w:sz="12" w:space="0"/>
            </w:tcBorders>
            <w:shd w:val="clear" w:color="auto" w:fill="auto"/>
            <w:vAlign w:val="center"/>
          </w:tcPr>
          <w:p w14:paraId="669410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Cs/>
                <w:spacing w:val="5"/>
                <w:sz w:val="18"/>
                <w:szCs w:val="18"/>
                <w:lang w:val="en-US"/>
              </w:rPr>
            </w:pPr>
            <w:r>
              <w:rPr>
                <w:rFonts w:hint="eastAsia" w:ascii="宋体" w:hAnsi="宋体" w:eastAsia="宋体" w:cs="宋体"/>
                <w:bCs/>
                <w:spacing w:val="5"/>
                <w:kern w:val="2"/>
                <w:sz w:val="18"/>
                <w:szCs w:val="18"/>
                <w:lang w:val="en-US" w:eastAsia="zh-CN" w:bidi="ar"/>
              </w:rPr>
              <w:t>成都院</w:t>
            </w:r>
          </w:p>
        </w:tc>
      </w:tr>
      <w:tr w14:paraId="65ED49F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0" w:type="dxa"/>
            <w:bottom w:w="0" w:type="dxa"/>
            <w:right w:w="0" w:type="dxa"/>
          </w:tblCellMar>
        </w:tblPrEx>
        <w:trPr>
          <w:trHeight w:val="738" w:hRule="atLeast"/>
        </w:trPr>
        <w:tc>
          <w:tcPr>
            <w:tcW w:w="1310" w:type="dxa"/>
            <w:tcBorders>
              <w:top w:val="single" w:color="auto" w:sz="6" w:space="0"/>
              <w:left w:val="single" w:color="auto" w:sz="12" w:space="0"/>
              <w:bottom w:val="single" w:color="auto" w:sz="12" w:space="0"/>
              <w:right w:val="single" w:color="auto" w:sz="6" w:space="0"/>
            </w:tcBorders>
            <w:shd w:val="clear" w:color="auto" w:fill="auto"/>
            <w:vAlign w:val="center"/>
          </w:tcPr>
          <w:p w14:paraId="149B19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spacing w:val="5"/>
                <w:kern w:val="2"/>
                <w:sz w:val="21"/>
                <w:szCs w:val="21"/>
                <w:lang w:val="en-US" w:eastAsia="zh-CN" w:bidi="ar"/>
              </w:rPr>
            </w:pPr>
            <w:r>
              <w:rPr>
                <w:rFonts w:hint="eastAsia" w:ascii="宋体" w:hAnsi="宋体" w:eastAsia="宋体" w:cs="宋体"/>
                <w:b/>
                <w:bCs w:val="0"/>
                <w:spacing w:val="5"/>
                <w:kern w:val="2"/>
                <w:sz w:val="21"/>
                <w:szCs w:val="21"/>
                <w:lang w:val="en-US" w:eastAsia="zh-CN" w:bidi="ar"/>
              </w:rPr>
              <w:t>四</w:t>
            </w:r>
          </w:p>
        </w:tc>
        <w:tc>
          <w:tcPr>
            <w:tcW w:w="3740" w:type="dxa"/>
            <w:tcBorders>
              <w:top w:val="single" w:color="auto" w:sz="6" w:space="0"/>
              <w:left w:val="single" w:color="auto" w:sz="6" w:space="0"/>
              <w:bottom w:val="single" w:color="auto" w:sz="12" w:space="0"/>
              <w:right w:val="single" w:color="auto" w:sz="6" w:space="0"/>
            </w:tcBorders>
            <w:shd w:val="clear" w:color="auto" w:fill="auto"/>
            <w:vAlign w:val="center"/>
          </w:tcPr>
          <w:p w14:paraId="2B0AF4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spacing w:val="5"/>
                <w:kern w:val="2"/>
                <w:sz w:val="21"/>
                <w:szCs w:val="21"/>
                <w:lang w:val="en-US" w:eastAsia="zh-CN" w:bidi="ar"/>
              </w:rPr>
            </w:pPr>
            <w:r>
              <w:rPr>
                <w:rFonts w:hint="eastAsia" w:ascii="宋体" w:hAnsi="宋体" w:eastAsia="宋体" w:cs="宋体"/>
                <w:b/>
                <w:bCs w:val="0"/>
                <w:spacing w:val="5"/>
                <w:kern w:val="2"/>
                <w:sz w:val="21"/>
                <w:szCs w:val="21"/>
                <w:lang w:val="en-US" w:eastAsia="zh-CN" w:bidi="ar"/>
              </w:rPr>
              <w:t>项目调研、组织会议、数据资料以及承担部分工作经费等相关保障措施</w:t>
            </w:r>
          </w:p>
        </w:tc>
        <w:tc>
          <w:tcPr>
            <w:tcW w:w="3908" w:type="dxa"/>
            <w:tcBorders>
              <w:top w:val="single" w:color="auto" w:sz="6" w:space="0"/>
              <w:left w:val="single" w:color="auto" w:sz="6" w:space="0"/>
              <w:bottom w:val="single" w:color="auto" w:sz="12" w:space="0"/>
              <w:right w:val="single" w:color="auto" w:sz="12" w:space="0"/>
            </w:tcBorders>
            <w:shd w:val="clear" w:color="auto" w:fill="auto"/>
            <w:vAlign w:val="center"/>
          </w:tcPr>
          <w:p w14:paraId="68CEDF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firstLineChars="0"/>
              <w:jc w:val="center"/>
              <w:textAlignment w:val="auto"/>
              <w:rPr>
                <w:rFonts w:hint="eastAsia" w:ascii="宋体" w:hAnsi="宋体" w:eastAsia="宋体" w:cs="宋体"/>
                <w:b/>
                <w:bCs w:val="0"/>
                <w:spacing w:val="5"/>
                <w:kern w:val="2"/>
                <w:sz w:val="21"/>
                <w:szCs w:val="21"/>
                <w:lang w:val="en-US" w:eastAsia="zh-CN" w:bidi="ar"/>
              </w:rPr>
            </w:pPr>
            <w:r>
              <w:rPr>
                <w:rFonts w:hint="eastAsia" w:ascii="宋体" w:hAnsi="宋体" w:eastAsia="宋体" w:cs="宋体"/>
                <w:b/>
                <w:bCs w:val="0"/>
                <w:spacing w:val="5"/>
                <w:kern w:val="2"/>
                <w:sz w:val="21"/>
                <w:szCs w:val="21"/>
                <w:lang w:val="en-US" w:eastAsia="zh-CN" w:bidi="ar"/>
              </w:rPr>
              <w:t>广核新能源、电建新能源</w:t>
            </w:r>
          </w:p>
        </w:tc>
      </w:tr>
    </w:tbl>
    <w:p w14:paraId="6DDAF14A">
      <w:pPr>
        <w:keepNext w:val="0"/>
        <w:keepLines w:val="0"/>
        <w:pageBreakBefore w:val="0"/>
        <w:widowControl w:val="0"/>
        <w:kinsoku/>
        <w:wordWrap/>
        <w:overflowPunct/>
        <w:topLinePunct w:val="0"/>
        <w:autoSpaceDE/>
        <w:autoSpaceDN/>
        <w:bidi w:val="0"/>
        <w:adjustRightInd/>
        <w:snapToGrid/>
        <w:spacing w:before="160"/>
        <w:ind w:firstLine="562"/>
        <w:textAlignment w:val="auto"/>
        <w:outlineLvl w:val="1"/>
        <w:rPr>
          <w:rFonts w:hint="eastAsia" w:ascii="宋体" w:hAnsi="宋体" w:eastAsia="宋体" w:cs="宋体"/>
          <w:b/>
          <w:bCs/>
          <w:sz w:val="28"/>
          <w:szCs w:val="28"/>
          <w:highlight w:val="none"/>
        </w:rPr>
      </w:pPr>
      <w:bookmarkStart w:id="20" w:name="_Toc28062"/>
      <w:r>
        <w:rPr>
          <w:rFonts w:hint="eastAsia" w:ascii="宋体" w:hAnsi="宋体" w:eastAsia="宋体" w:cs="宋体"/>
          <w:b/>
          <w:bCs/>
          <w:sz w:val="28"/>
          <w:szCs w:val="28"/>
          <w:highlight w:val="none"/>
          <w:lang w:val="en-US" w:eastAsia="zh-CN"/>
        </w:rPr>
        <w:t xml:space="preserve">1.4 </w:t>
      </w:r>
      <w:r>
        <w:rPr>
          <w:rFonts w:hint="eastAsia" w:ascii="宋体" w:hAnsi="宋体" w:eastAsia="宋体" w:cs="宋体"/>
          <w:b/>
          <w:bCs/>
          <w:sz w:val="28"/>
          <w:szCs w:val="28"/>
          <w:highlight w:val="none"/>
        </w:rPr>
        <w:t>主要工作过程</w:t>
      </w:r>
      <w:bookmarkEnd w:id="14"/>
      <w:bookmarkEnd w:id="20"/>
    </w:p>
    <w:p w14:paraId="67E0F9FF">
      <w:pPr>
        <w:ind w:firstLine="480"/>
        <w:rPr>
          <w:rFonts w:hint="eastAsia" w:ascii="宋体" w:hAnsi="宋体" w:eastAsia="宋体" w:cs="宋体"/>
          <w:highlight w:val="none"/>
        </w:rPr>
      </w:pPr>
      <w:r>
        <w:rPr>
          <w:rFonts w:hint="eastAsia" w:ascii="宋体" w:hAnsi="宋体" w:eastAsia="宋体" w:cs="宋体"/>
          <w:highlight w:val="none"/>
        </w:rPr>
        <w:t>（1） 2022年10月8日，国家能源局下达了《关于下达2022年能源领域行业标准修订计划及外文翻译计划的通知》（国能综通科技〔2022〕96号），标准正式立项。</w:t>
      </w:r>
    </w:p>
    <w:p w14:paraId="73088C85">
      <w:pPr>
        <w:ind w:firstLine="480"/>
        <w:rPr>
          <w:rFonts w:hint="eastAsia" w:ascii="宋体" w:hAnsi="宋体" w:eastAsia="宋体" w:cs="宋体"/>
          <w:highlight w:val="none"/>
        </w:rPr>
      </w:pPr>
      <w:r>
        <w:rPr>
          <w:rFonts w:hint="eastAsia" w:ascii="宋体" w:hAnsi="宋体" w:eastAsia="宋体" w:cs="宋体"/>
          <w:highlight w:val="none"/>
        </w:rPr>
        <w:t>（2） 2022年11月～2023年5月，水电水利规划设计总院（可再生能源定额站）组织开展工作启动、组织协调、标准研究工作方案策划、成立编制组并编制工作大纲。</w:t>
      </w:r>
    </w:p>
    <w:p w14:paraId="2CA7055A">
      <w:pPr>
        <w:ind w:firstLine="480"/>
        <w:rPr>
          <w:rFonts w:hint="eastAsia" w:ascii="宋体" w:hAnsi="宋体" w:eastAsia="宋体" w:cs="宋体"/>
          <w:highlight w:val="none"/>
        </w:rPr>
      </w:pPr>
      <w:r>
        <w:rPr>
          <w:rFonts w:hint="eastAsia" w:ascii="宋体" w:hAnsi="宋体" w:eastAsia="宋体" w:cs="宋体"/>
          <w:highlight w:val="none"/>
        </w:rPr>
        <w:t>（3） 2023年5月23日</w:t>
      </w:r>
      <w:bookmarkStart w:id="21" w:name="OLE_LINK3"/>
      <w:r>
        <w:rPr>
          <w:rFonts w:hint="eastAsia" w:ascii="宋体" w:hAnsi="宋体" w:eastAsia="宋体" w:cs="宋体"/>
          <w:highlight w:val="none"/>
        </w:rPr>
        <w:t>～2023年5月25日</w:t>
      </w:r>
      <w:bookmarkEnd w:id="21"/>
      <w:r>
        <w:rPr>
          <w:rFonts w:hint="eastAsia" w:ascii="宋体" w:hAnsi="宋体" w:eastAsia="宋体" w:cs="宋体"/>
          <w:highlight w:val="none"/>
        </w:rPr>
        <w:t>，水电水利规划设计总院在杭州组织召开了《</w:t>
      </w:r>
      <w:r>
        <w:rPr>
          <w:rFonts w:hint="eastAsia" w:ascii="宋体" w:hAnsi="宋体" w:cs="宋体"/>
          <w:highlight w:val="none"/>
          <w:lang w:eastAsia="zh-CN"/>
        </w:rPr>
        <w:t>光伏发电工程概算定额</w:t>
      </w:r>
      <w:r>
        <w:rPr>
          <w:rFonts w:hint="eastAsia" w:ascii="宋体" w:hAnsi="宋体" w:eastAsia="宋体" w:cs="宋体"/>
          <w:highlight w:val="none"/>
        </w:rPr>
        <w:t>》标准修订工作大纲评审会。会议明确了标准编制原则和依据、技术路线、主要内容、任务分工和工作进度计划，并对下一步工作进行安排部署，进一步推动标准编制工作。</w:t>
      </w:r>
    </w:p>
    <w:p w14:paraId="7C6406E1">
      <w:pPr>
        <w:ind w:firstLine="480"/>
        <w:rPr>
          <w:rFonts w:hint="eastAsia" w:ascii="宋体" w:hAnsi="宋体" w:eastAsia="宋体" w:cs="宋体"/>
          <w:highlight w:val="none"/>
        </w:rPr>
      </w:pPr>
      <w:r>
        <w:rPr>
          <w:rFonts w:hint="eastAsia" w:ascii="宋体" w:hAnsi="宋体" w:eastAsia="宋体" w:cs="宋体"/>
          <w:highlight w:val="none"/>
        </w:rPr>
        <w:t>（4） 2023年6月</w:t>
      </w:r>
      <w:bookmarkStart w:id="22" w:name="OLE_LINK2"/>
      <w:r>
        <w:rPr>
          <w:rFonts w:hint="eastAsia" w:ascii="宋体" w:hAnsi="宋体" w:eastAsia="宋体" w:cs="宋体"/>
          <w:highlight w:val="none"/>
        </w:rPr>
        <w:t>～</w:t>
      </w:r>
      <w:bookmarkEnd w:id="22"/>
      <w:r>
        <w:rPr>
          <w:rFonts w:hint="eastAsia" w:ascii="宋体" w:hAnsi="宋体" w:eastAsia="宋体" w:cs="宋体"/>
          <w:highlight w:val="none"/>
        </w:rPr>
        <w:t>202</w:t>
      </w:r>
      <w:r>
        <w:rPr>
          <w:rFonts w:hint="eastAsia" w:ascii="宋体" w:hAnsi="宋体" w:eastAsia="宋体" w:cs="宋体"/>
          <w:highlight w:val="none"/>
          <w:lang w:val="en-US" w:eastAsia="zh-CN"/>
        </w:rPr>
        <w:t>4</w:t>
      </w:r>
      <w:r>
        <w:rPr>
          <w:rFonts w:hint="eastAsia" w:ascii="宋体" w:hAnsi="宋体" w:eastAsia="宋体" w:cs="宋体"/>
          <w:highlight w:val="none"/>
        </w:rPr>
        <w:t>年</w:t>
      </w:r>
      <w:r>
        <w:rPr>
          <w:rFonts w:hint="eastAsia" w:ascii="宋体" w:hAnsi="宋体" w:eastAsia="宋体" w:cs="宋体"/>
          <w:highlight w:val="none"/>
          <w:lang w:val="en-US" w:eastAsia="zh-CN"/>
        </w:rPr>
        <w:t>3</w:t>
      </w:r>
      <w:r>
        <w:rPr>
          <w:rFonts w:hint="eastAsia" w:ascii="宋体" w:hAnsi="宋体" w:eastAsia="宋体" w:cs="宋体"/>
          <w:highlight w:val="none"/>
        </w:rPr>
        <w:t>月，开展项目调研、资料收集、资料整理并开展具体</w:t>
      </w:r>
      <w:r>
        <w:rPr>
          <w:rFonts w:hint="eastAsia" w:ascii="宋体" w:hAnsi="宋体" w:eastAsia="宋体" w:cs="宋体"/>
          <w:highlight w:val="none"/>
          <w:lang w:val="en-US" w:eastAsia="zh-CN"/>
        </w:rPr>
        <w:t>编制</w:t>
      </w:r>
      <w:r>
        <w:rPr>
          <w:rFonts w:hint="eastAsia" w:ascii="宋体" w:hAnsi="宋体" w:eastAsia="宋体" w:cs="宋体"/>
          <w:highlight w:val="none"/>
        </w:rPr>
        <w:t>工作。</w:t>
      </w:r>
    </w:p>
    <w:p w14:paraId="36B82DA8">
      <w:pPr>
        <w:ind w:firstLine="480"/>
        <w:rPr>
          <w:rFonts w:hint="eastAsia" w:ascii="宋体" w:hAnsi="宋体" w:eastAsia="宋体" w:cs="宋体"/>
          <w:highlight w:val="none"/>
          <w:lang w:val="en-US" w:eastAsia="zh-CN"/>
        </w:rPr>
      </w:pPr>
      <w:r>
        <w:rPr>
          <w:rFonts w:hint="eastAsia" w:ascii="宋体" w:hAnsi="宋体" w:eastAsia="宋体" w:cs="宋体"/>
          <w:highlight w:val="none"/>
        </w:rPr>
        <w:t>（5）</w:t>
      </w:r>
      <w:r>
        <w:rPr>
          <w:rFonts w:hint="eastAsia" w:ascii="宋体" w:hAnsi="宋体" w:eastAsia="宋体" w:cs="宋体"/>
          <w:highlight w:val="none"/>
          <w:lang w:val="en-US" w:eastAsia="zh-CN"/>
        </w:rPr>
        <w:t>2024年3月</w:t>
      </w:r>
      <w:r>
        <w:rPr>
          <w:rFonts w:hint="eastAsia" w:ascii="宋体" w:hAnsi="宋体" w:eastAsia="宋体" w:cs="宋体"/>
          <w:highlight w:val="none"/>
        </w:rPr>
        <w:t>～</w:t>
      </w:r>
      <w:r>
        <w:rPr>
          <w:rFonts w:hint="eastAsia" w:ascii="宋体" w:hAnsi="宋体" w:eastAsia="宋体" w:cs="宋体"/>
          <w:highlight w:val="none"/>
          <w:lang w:val="en-US" w:eastAsia="zh-CN"/>
        </w:rPr>
        <w:t>2024年6月，根据工作需要分章节组织召开中间成果审查会，共组织分组讨论会5次。</w:t>
      </w:r>
    </w:p>
    <w:p w14:paraId="213061B1">
      <w:pPr>
        <w:ind w:firstLine="480"/>
        <w:rPr>
          <w:rFonts w:hint="eastAsia" w:ascii="宋体" w:hAnsi="宋体" w:eastAsia="宋体" w:cs="宋体"/>
          <w:highlight w:val="none"/>
          <w:lang w:val="en-US"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6</w:t>
      </w:r>
      <w:r>
        <w:rPr>
          <w:rFonts w:hint="eastAsia" w:ascii="宋体" w:hAnsi="宋体" w:eastAsia="宋体" w:cs="宋体"/>
          <w:highlight w:val="none"/>
          <w:lang w:eastAsia="zh-CN"/>
        </w:rPr>
        <w:t>）</w:t>
      </w:r>
      <w:r>
        <w:rPr>
          <w:rFonts w:hint="eastAsia" w:ascii="宋体" w:hAnsi="宋体" w:eastAsia="宋体" w:cs="宋体"/>
          <w:highlight w:val="none"/>
          <w:lang w:val="en-US" w:eastAsia="zh-CN"/>
        </w:rPr>
        <w:t>2024年11月7日</w:t>
      </w:r>
      <w:r>
        <w:rPr>
          <w:rFonts w:hint="eastAsia" w:ascii="宋体" w:hAnsi="宋体" w:eastAsia="宋体" w:cs="宋体"/>
          <w:highlight w:val="none"/>
        </w:rPr>
        <w:t>～202</w:t>
      </w:r>
      <w:r>
        <w:rPr>
          <w:rFonts w:hint="eastAsia" w:ascii="宋体" w:hAnsi="宋体" w:eastAsia="宋体" w:cs="宋体"/>
          <w:highlight w:val="none"/>
          <w:lang w:val="en-US" w:eastAsia="zh-CN"/>
        </w:rPr>
        <w:t>4</w:t>
      </w:r>
      <w:r>
        <w:rPr>
          <w:rFonts w:hint="eastAsia" w:ascii="宋体" w:hAnsi="宋体" w:eastAsia="宋体" w:cs="宋体"/>
          <w:highlight w:val="none"/>
        </w:rPr>
        <w:t>年</w:t>
      </w:r>
      <w:r>
        <w:rPr>
          <w:rFonts w:hint="eastAsia" w:ascii="宋体" w:hAnsi="宋体" w:eastAsia="宋体" w:cs="宋体"/>
          <w:highlight w:val="none"/>
          <w:lang w:val="en-US" w:eastAsia="zh-CN"/>
        </w:rPr>
        <w:t>11</w:t>
      </w:r>
      <w:r>
        <w:rPr>
          <w:rFonts w:hint="eastAsia" w:ascii="宋体" w:hAnsi="宋体" w:eastAsia="宋体" w:cs="宋体"/>
          <w:highlight w:val="none"/>
        </w:rPr>
        <w:t>月</w:t>
      </w:r>
      <w:r>
        <w:rPr>
          <w:rFonts w:hint="eastAsia" w:ascii="宋体" w:hAnsi="宋体" w:eastAsia="宋体" w:cs="宋体"/>
          <w:highlight w:val="none"/>
          <w:lang w:val="en-US" w:eastAsia="zh-CN"/>
        </w:rPr>
        <w:t>9</w:t>
      </w:r>
      <w:r>
        <w:rPr>
          <w:rFonts w:hint="eastAsia" w:ascii="宋体" w:hAnsi="宋体" w:eastAsia="宋体" w:cs="宋体"/>
          <w:highlight w:val="none"/>
        </w:rPr>
        <w:t>日</w:t>
      </w:r>
      <w:r>
        <w:rPr>
          <w:rFonts w:hint="eastAsia" w:ascii="宋体" w:hAnsi="宋体" w:eastAsia="宋体" w:cs="宋体"/>
          <w:highlight w:val="none"/>
          <w:lang w:val="en-US" w:eastAsia="zh-CN"/>
        </w:rPr>
        <w:t>，组织召开征求意见稿第1次咨询会议</w:t>
      </w:r>
      <w:r>
        <w:rPr>
          <w:rFonts w:hint="eastAsia" w:ascii="宋体" w:hAnsi="宋体" w:eastAsia="宋体" w:cs="宋体"/>
          <w:highlight w:val="none"/>
        </w:rPr>
        <w:t>，并提出修改意见</w:t>
      </w:r>
      <w:r>
        <w:rPr>
          <w:rFonts w:hint="eastAsia" w:ascii="宋体" w:hAnsi="宋体" w:eastAsia="宋体" w:cs="宋体"/>
          <w:highlight w:val="none"/>
          <w:lang w:val="en-US" w:eastAsia="zh-CN"/>
        </w:rPr>
        <w:t>。</w:t>
      </w:r>
    </w:p>
    <w:p w14:paraId="6BA48E9D">
      <w:pPr>
        <w:ind w:firstLine="480"/>
        <w:rPr>
          <w:rFonts w:hint="eastAsia" w:ascii="宋体" w:hAnsi="宋体" w:eastAsia="宋体" w:cs="宋体"/>
          <w:highlight w:val="none"/>
          <w:lang w:val="en-US"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7</w:t>
      </w:r>
      <w:r>
        <w:rPr>
          <w:rFonts w:hint="eastAsia" w:ascii="宋体" w:hAnsi="宋体" w:eastAsia="宋体" w:cs="宋体"/>
          <w:highlight w:val="none"/>
          <w:lang w:eastAsia="zh-CN"/>
        </w:rPr>
        <w:t>）</w:t>
      </w:r>
      <w:r>
        <w:rPr>
          <w:rFonts w:hint="eastAsia" w:ascii="宋体" w:hAnsi="宋体" w:eastAsia="宋体" w:cs="宋体"/>
          <w:highlight w:val="none"/>
          <w:lang w:val="en-US" w:eastAsia="zh-CN"/>
        </w:rPr>
        <w:t>2024年11月</w:t>
      </w:r>
      <w:r>
        <w:rPr>
          <w:rFonts w:hint="eastAsia" w:ascii="宋体" w:hAnsi="宋体" w:eastAsia="宋体" w:cs="宋体"/>
          <w:highlight w:val="none"/>
        </w:rPr>
        <w:t>～</w:t>
      </w:r>
      <w:r>
        <w:rPr>
          <w:rFonts w:hint="eastAsia" w:ascii="宋体" w:hAnsi="宋体" w:eastAsia="宋体" w:cs="宋体"/>
          <w:highlight w:val="none"/>
          <w:lang w:val="en-US" w:eastAsia="zh-CN"/>
        </w:rPr>
        <w:t>2025年4月，按照征求意见稿第2次会议意见修改、完善征求意见成果，并进行初步测算。</w:t>
      </w:r>
    </w:p>
    <w:p w14:paraId="7C2299B8">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8</w:t>
      </w:r>
      <w:r>
        <w:rPr>
          <w:rFonts w:hint="eastAsia" w:ascii="宋体" w:hAnsi="宋体" w:eastAsia="宋体" w:cs="宋体"/>
          <w:highlight w:val="none"/>
          <w:lang w:eastAsia="zh-CN"/>
        </w:rPr>
        <w:t>）</w:t>
      </w:r>
      <w:r>
        <w:rPr>
          <w:rFonts w:hint="eastAsia" w:ascii="宋体" w:hAnsi="宋体" w:eastAsia="宋体" w:cs="宋体"/>
          <w:highlight w:val="none"/>
        </w:rPr>
        <w:t>202</w:t>
      </w:r>
      <w:r>
        <w:rPr>
          <w:rFonts w:hint="eastAsia" w:ascii="宋体" w:hAnsi="宋体" w:eastAsia="宋体" w:cs="宋体"/>
          <w:highlight w:val="none"/>
          <w:lang w:val="en-US" w:eastAsia="zh-CN"/>
        </w:rPr>
        <w:t>5</w:t>
      </w:r>
      <w:r>
        <w:rPr>
          <w:rFonts w:hint="eastAsia" w:ascii="宋体" w:hAnsi="宋体" w:eastAsia="宋体" w:cs="宋体"/>
          <w:highlight w:val="none"/>
        </w:rPr>
        <w:t>年</w:t>
      </w:r>
      <w:r>
        <w:rPr>
          <w:rFonts w:hint="eastAsia" w:ascii="宋体" w:hAnsi="宋体" w:eastAsia="宋体" w:cs="宋体"/>
          <w:highlight w:val="none"/>
          <w:lang w:val="en-US" w:eastAsia="zh-CN"/>
        </w:rPr>
        <w:t>4</w:t>
      </w:r>
      <w:r>
        <w:rPr>
          <w:rFonts w:hint="eastAsia" w:ascii="宋体" w:hAnsi="宋体" w:eastAsia="宋体" w:cs="宋体"/>
          <w:highlight w:val="none"/>
        </w:rPr>
        <w:t>月</w:t>
      </w:r>
      <w:r>
        <w:rPr>
          <w:rFonts w:hint="eastAsia" w:ascii="宋体" w:hAnsi="宋体" w:eastAsia="宋体" w:cs="宋体"/>
          <w:highlight w:val="none"/>
          <w:lang w:val="en-US" w:eastAsia="zh-CN"/>
        </w:rPr>
        <w:t>21</w:t>
      </w:r>
      <w:r>
        <w:rPr>
          <w:rFonts w:hint="eastAsia" w:ascii="宋体" w:hAnsi="宋体" w:eastAsia="宋体" w:cs="宋体"/>
          <w:highlight w:val="none"/>
        </w:rPr>
        <w:t>日～</w:t>
      </w:r>
      <w:r>
        <w:rPr>
          <w:rFonts w:hint="eastAsia" w:ascii="宋体" w:hAnsi="宋体" w:eastAsia="宋体" w:cs="宋体"/>
          <w:highlight w:val="none"/>
          <w:lang w:val="en-US" w:eastAsia="zh-CN"/>
        </w:rPr>
        <w:t>4</w:t>
      </w:r>
      <w:r>
        <w:rPr>
          <w:rFonts w:hint="eastAsia" w:ascii="宋体" w:hAnsi="宋体" w:eastAsia="宋体" w:cs="宋体"/>
          <w:highlight w:val="none"/>
        </w:rPr>
        <w:t>月2</w:t>
      </w:r>
      <w:r>
        <w:rPr>
          <w:rFonts w:hint="eastAsia" w:ascii="宋体" w:hAnsi="宋体" w:eastAsia="宋体" w:cs="宋体"/>
          <w:highlight w:val="none"/>
          <w:lang w:val="en-US" w:eastAsia="zh-CN"/>
        </w:rPr>
        <w:t>2</w:t>
      </w:r>
      <w:r>
        <w:rPr>
          <w:rFonts w:hint="eastAsia" w:ascii="宋体" w:hAnsi="宋体" w:eastAsia="宋体" w:cs="宋体"/>
          <w:highlight w:val="none"/>
        </w:rPr>
        <w:t>日，组织召开征求意见稿第</w:t>
      </w:r>
      <w:r>
        <w:rPr>
          <w:rFonts w:hint="eastAsia" w:ascii="宋体" w:hAnsi="宋体" w:eastAsia="宋体" w:cs="宋体"/>
          <w:highlight w:val="none"/>
          <w:lang w:val="en-US" w:eastAsia="zh-CN"/>
        </w:rPr>
        <w:t>2</w:t>
      </w:r>
      <w:r>
        <w:rPr>
          <w:rFonts w:hint="eastAsia" w:ascii="宋体" w:hAnsi="宋体" w:eastAsia="宋体" w:cs="宋体"/>
          <w:highlight w:val="none"/>
        </w:rPr>
        <w:t>次咨询会议，并提出修改意见。</w:t>
      </w:r>
    </w:p>
    <w:p w14:paraId="43CA2C12">
      <w:pPr>
        <w:ind w:firstLine="480"/>
        <w:rPr>
          <w:rFonts w:hint="eastAsia" w:ascii="宋体" w:hAnsi="宋体" w:eastAsia="宋体" w:cs="宋体"/>
          <w:highlight w:val="none"/>
        </w:rPr>
      </w:pPr>
      <w:r>
        <w:rPr>
          <w:rFonts w:hint="eastAsia" w:ascii="宋体" w:hAnsi="宋体" w:eastAsia="宋体" w:cs="宋体"/>
          <w:highlight w:val="none"/>
        </w:rPr>
        <w:t>（6）</w:t>
      </w:r>
      <w:r>
        <w:rPr>
          <w:rFonts w:hint="eastAsia" w:ascii="宋体" w:hAnsi="宋体" w:eastAsia="宋体" w:cs="宋体"/>
          <w:highlight w:val="none"/>
          <w:lang w:val="en-US" w:eastAsia="zh-CN"/>
        </w:rPr>
        <w:t>2025年5月</w:t>
      </w:r>
      <w:r>
        <w:rPr>
          <w:rFonts w:hint="eastAsia" w:ascii="宋体" w:hAnsi="宋体" w:eastAsia="宋体" w:cs="宋体"/>
          <w:highlight w:val="none"/>
        </w:rPr>
        <w:t>～</w:t>
      </w:r>
      <w:r>
        <w:rPr>
          <w:rFonts w:hint="eastAsia" w:ascii="宋体" w:hAnsi="宋体" w:eastAsia="宋体" w:cs="宋体"/>
          <w:highlight w:val="none"/>
          <w:lang w:val="en-US" w:eastAsia="zh-CN"/>
        </w:rPr>
        <w:t>2025年7月，按照</w:t>
      </w:r>
      <w:r>
        <w:rPr>
          <w:rFonts w:hint="eastAsia" w:ascii="宋体" w:hAnsi="宋体" w:eastAsia="宋体" w:cs="宋体"/>
          <w:highlight w:val="none"/>
        </w:rPr>
        <w:t>征求意见稿</w:t>
      </w:r>
      <w:r>
        <w:rPr>
          <w:rFonts w:hint="eastAsia" w:ascii="宋体" w:hAnsi="宋体" w:eastAsia="宋体" w:cs="宋体"/>
          <w:highlight w:val="none"/>
          <w:lang w:val="en-US" w:eastAsia="zh-CN"/>
        </w:rPr>
        <w:t>第2次会议简介修改、完善征求意见成果，选取各种类型项目进行投资测算</w:t>
      </w:r>
      <w:r>
        <w:rPr>
          <w:rFonts w:hint="eastAsia" w:ascii="宋体" w:hAnsi="宋体" w:eastAsia="宋体" w:cs="宋体"/>
          <w:highlight w:val="none"/>
        </w:rPr>
        <w:t>。</w:t>
      </w:r>
    </w:p>
    <w:p w14:paraId="3179E8DF">
      <w:pPr>
        <w:ind w:firstLine="480"/>
        <w:rPr>
          <w:rFonts w:hint="eastAsia" w:ascii="宋体" w:hAnsi="宋体" w:eastAsia="宋体" w:cs="宋体"/>
          <w:highlight w:val="none"/>
        </w:rPr>
      </w:pPr>
      <w:r>
        <w:rPr>
          <w:rFonts w:hint="eastAsia" w:ascii="宋体" w:hAnsi="宋体" w:eastAsia="宋体" w:cs="宋体"/>
          <w:highlight w:val="none"/>
        </w:rPr>
        <w:t>（7）</w:t>
      </w:r>
      <w:r>
        <w:rPr>
          <w:rFonts w:hint="eastAsia" w:ascii="宋体" w:hAnsi="宋体" w:eastAsia="宋体" w:cs="宋体"/>
          <w:highlight w:val="none"/>
          <w:lang w:val="en-US" w:eastAsia="zh-CN"/>
        </w:rPr>
        <w:t>2025年9月</w:t>
      </w:r>
      <w:r>
        <w:rPr>
          <w:rFonts w:hint="eastAsia" w:ascii="宋体" w:hAnsi="宋体" w:eastAsia="宋体" w:cs="宋体"/>
          <w:highlight w:val="none"/>
        </w:rPr>
        <w:t>～</w:t>
      </w:r>
      <w:r>
        <w:rPr>
          <w:rFonts w:hint="eastAsia" w:ascii="宋体" w:hAnsi="宋体" w:eastAsia="宋体" w:cs="宋体"/>
          <w:highlight w:val="none"/>
          <w:lang w:val="en-US" w:eastAsia="zh-CN"/>
        </w:rPr>
        <w:t>2025年10月，期间对修改成果、测算结果及包封要求召开多次讨论会，修改完善后形成征求意见稿</w:t>
      </w:r>
      <w:r>
        <w:rPr>
          <w:rFonts w:hint="eastAsia" w:ascii="宋体" w:hAnsi="宋体" w:eastAsia="宋体" w:cs="宋体"/>
          <w:highlight w:val="none"/>
        </w:rPr>
        <w:t>。</w:t>
      </w:r>
    </w:p>
    <w:p w14:paraId="26613894">
      <w:pPr>
        <w:pStyle w:val="2"/>
        <w:ind w:firstLine="562"/>
        <w:rPr>
          <w:rFonts w:hint="eastAsia" w:ascii="宋体" w:hAnsi="宋体" w:eastAsia="宋体" w:cs="宋体"/>
          <w:sz w:val="28"/>
          <w:szCs w:val="28"/>
          <w:highlight w:val="none"/>
        </w:rPr>
      </w:pPr>
      <w:bookmarkStart w:id="23" w:name="_Toc14685415"/>
      <w:bookmarkStart w:id="24" w:name="_Toc14684876"/>
      <w:bookmarkStart w:id="25" w:name="_Toc14685321"/>
      <w:bookmarkStart w:id="26" w:name="_Toc527708183"/>
      <w:bookmarkStart w:id="27" w:name="_Toc14685349"/>
      <w:bookmarkStart w:id="28" w:name="_Toc3059"/>
      <w:bookmarkStart w:id="29" w:name="_Toc29237"/>
      <w:r>
        <w:rPr>
          <w:rFonts w:hint="eastAsia" w:ascii="宋体" w:hAnsi="宋体" w:eastAsia="宋体" w:cs="宋体"/>
          <w:sz w:val="28"/>
          <w:szCs w:val="28"/>
          <w:highlight w:val="none"/>
        </w:rPr>
        <w:t>二、</w:t>
      </w:r>
      <w:bookmarkEnd w:id="23"/>
      <w:bookmarkEnd w:id="24"/>
      <w:bookmarkEnd w:id="25"/>
      <w:bookmarkEnd w:id="26"/>
      <w:bookmarkEnd w:id="27"/>
      <w:r>
        <w:rPr>
          <w:rFonts w:hint="eastAsia" w:ascii="宋体" w:hAnsi="宋体" w:eastAsia="宋体" w:cs="宋体"/>
          <w:sz w:val="28"/>
          <w:szCs w:val="28"/>
          <w:highlight w:val="none"/>
        </w:rPr>
        <w:t>编制原则和主要内容</w:t>
      </w:r>
      <w:bookmarkEnd w:id="28"/>
      <w:bookmarkEnd w:id="29"/>
    </w:p>
    <w:p w14:paraId="63460EAE">
      <w:pPr>
        <w:pStyle w:val="3"/>
        <w:ind w:firstLine="562"/>
        <w:rPr>
          <w:rFonts w:hint="eastAsia" w:ascii="宋体" w:hAnsi="宋体" w:eastAsia="宋体" w:cs="宋体"/>
          <w:highlight w:val="none"/>
        </w:rPr>
      </w:pPr>
      <w:bookmarkStart w:id="30" w:name="_Toc28790"/>
      <w:bookmarkStart w:id="31" w:name="_Toc12099"/>
      <w:bookmarkStart w:id="32" w:name="_Toc23230"/>
      <w:bookmarkStart w:id="33" w:name="_Toc11121"/>
      <w:bookmarkStart w:id="34" w:name="_Toc30220"/>
      <w:bookmarkStart w:id="35" w:name="_Toc17183"/>
      <w:bookmarkStart w:id="36" w:name="_Toc26834"/>
      <w:bookmarkStart w:id="37" w:name="_Toc6329"/>
      <w:bookmarkStart w:id="38" w:name="_Toc32145"/>
      <w:r>
        <w:rPr>
          <w:rFonts w:hint="eastAsia" w:ascii="宋体" w:hAnsi="宋体" w:eastAsia="宋体" w:cs="宋体"/>
          <w:highlight w:val="none"/>
        </w:rPr>
        <w:t>2.1 编制原则</w:t>
      </w:r>
      <w:bookmarkEnd w:id="30"/>
    </w:p>
    <w:p w14:paraId="4C9818A0">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根据收集的陆上光伏发电工程项目实际资料，本文件在征求各方意见的基础上，结合相关的现行行业标准规范，进行标准修订工作。具体原则如下：</w:t>
      </w:r>
    </w:p>
    <w:p w14:paraId="7A1F91DD">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（1）反映国家及行业有关政策、法规的变化；</w:t>
      </w:r>
    </w:p>
    <w:p w14:paraId="20FD9D00">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（2）反映光伏发电工程建设中的新方案、新工艺、新特点及生产水平的提高；</w:t>
      </w:r>
    </w:p>
    <w:p w14:paraId="6F03C1C1">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（3）体现</w:t>
      </w:r>
      <w:r>
        <w:rPr>
          <w:rFonts w:hint="eastAsia" w:ascii="宋体" w:hAnsi="宋体" w:cs="宋体"/>
          <w:b w:val="0"/>
          <w:bCs w:val="0"/>
          <w:color w:val="000000"/>
          <w:highlight w:val="none"/>
          <w:lang w:eastAsia="zh-CN"/>
        </w:rPr>
        <w:t>光伏发电工程概算定额</w:t>
      </w:r>
      <w:r>
        <w:rPr>
          <w:rFonts w:hint="eastAsia" w:ascii="宋体" w:hAnsi="宋体" w:eastAsia="宋体" w:cs="宋体"/>
          <w:b w:val="0"/>
          <w:bCs w:val="0"/>
          <w:color w:val="000000"/>
          <w:highlight w:val="none"/>
        </w:rPr>
        <w:t>的适用性、时效性、公正性和客观性；</w:t>
      </w:r>
    </w:p>
    <w:p w14:paraId="20080DBD">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（4）本次修订以《光伏发电工程工程量清单计价规范》（NB/T 11017-2022）为基础，综合考虑工程建设各阶段造价管理需求；</w:t>
      </w:r>
    </w:p>
    <w:p w14:paraId="00F3D537">
      <w:pPr>
        <w:ind w:firstLine="480"/>
        <w:rPr>
          <w:rFonts w:hint="eastAsia" w:ascii="宋体" w:hAnsi="宋体" w:eastAsia="宋体" w:cs="宋体"/>
          <w:b w:val="0"/>
          <w:bCs w:val="0"/>
          <w:color w:val="000000"/>
          <w:highlight w:val="none"/>
        </w:rPr>
      </w:pPr>
      <w:r>
        <w:rPr>
          <w:rFonts w:hint="eastAsia" w:ascii="宋体" w:hAnsi="宋体" w:eastAsia="宋体" w:cs="宋体"/>
          <w:b w:val="0"/>
          <w:bCs w:val="0"/>
          <w:color w:val="000000"/>
          <w:highlight w:val="none"/>
        </w:rPr>
        <w:t>（5）本次修订定额子目的设置，根据已建、在建光伏发电工程的建设条件、施工装备、施工方案以及工程项目特征等因素确定；</w:t>
      </w:r>
    </w:p>
    <w:p w14:paraId="3F83DE30">
      <w:pPr>
        <w:ind w:firstLine="480"/>
        <w:rPr>
          <w:rFonts w:hint="eastAsia" w:ascii="宋体" w:hAnsi="宋体" w:eastAsia="宋体" w:cs="宋体"/>
          <w:color w:val="000000"/>
          <w:highlight w:val="none"/>
        </w:rPr>
      </w:pPr>
      <w:r>
        <w:rPr>
          <w:rFonts w:hint="eastAsia" w:ascii="宋体" w:hAnsi="宋体" w:eastAsia="宋体" w:cs="宋体"/>
          <w:b w:val="0"/>
          <w:bCs w:val="0"/>
          <w:color w:val="000000"/>
          <w:highlight w:val="none"/>
        </w:rPr>
        <w:t>（6）定额水平应反映当前市场价格平均先进水平。</w:t>
      </w:r>
    </w:p>
    <w:p w14:paraId="2C9E2412">
      <w:pPr>
        <w:pStyle w:val="3"/>
        <w:ind w:firstLine="562"/>
        <w:rPr>
          <w:rFonts w:hint="eastAsia" w:ascii="宋体" w:hAnsi="宋体" w:eastAsia="宋体" w:cs="宋体"/>
          <w:highlight w:val="none"/>
        </w:rPr>
      </w:pPr>
      <w:bookmarkStart w:id="39" w:name="_Toc24540"/>
      <w:r>
        <w:rPr>
          <w:rFonts w:hint="eastAsia" w:ascii="宋体" w:hAnsi="宋体" w:eastAsia="宋体" w:cs="宋体"/>
          <w:highlight w:val="none"/>
        </w:rPr>
        <w:t>2.2 编制依据</w:t>
      </w:r>
      <w:bookmarkEnd w:id="39"/>
    </w:p>
    <w:p w14:paraId="0E89195D">
      <w:pPr>
        <w:ind w:firstLine="480"/>
        <w:rPr>
          <w:rFonts w:hint="eastAsia" w:ascii="宋体" w:hAnsi="宋体" w:eastAsia="宋体" w:cs="宋体"/>
          <w:highlight w:val="none"/>
        </w:rPr>
      </w:pPr>
      <w:r>
        <w:rPr>
          <w:rFonts w:hint="eastAsia" w:ascii="宋体" w:hAnsi="宋体" w:eastAsia="宋体" w:cs="宋体"/>
          <w:highlight w:val="none"/>
        </w:rPr>
        <w:t>（1）《中华人民共和国民法典》、《中华人民共和国招标投标法》、《中华人民共和国建筑法》等法律法规；</w:t>
      </w:r>
    </w:p>
    <w:p w14:paraId="25C708AA">
      <w:pPr>
        <w:ind w:firstLine="480"/>
        <w:rPr>
          <w:rFonts w:hint="eastAsia" w:ascii="宋体" w:hAnsi="宋体" w:eastAsia="宋体" w:cs="宋体"/>
          <w:highlight w:val="none"/>
        </w:rPr>
      </w:pPr>
      <w:r>
        <w:rPr>
          <w:rFonts w:hint="eastAsia" w:ascii="宋体" w:hAnsi="宋体" w:eastAsia="宋体" w:cs="宋体"/>
          <w:highlight w:val="none"/>
        </w:rPr>
        <w:t>（2）《光伏发电工程可行性研究报告编制规程》（NB-T32043-2018）等相关行业技术规范；</w:t>
      </w:r>
    </w:p>
    <w:p w14:paraId="78A03C8B">
      <w:pPr>
        <w:ind w:firstLine="480"/>
        <w:rPr>
          <w:rFonts w:hint="eastAsia" w:ascii="宋体" w:hAnsi="宋体" w:eastAsia="宋体" w:cs="宋体"/>
          <w:highlight w:val="none"/>
        </w:rPr>
      </w:pPr>
      <w:r>
        <w:rPr>
          <w:rFonts w:hint="eastAsia" w:ascii="宋体" w:hAnsi="宋体" w:eastAsia="宋体" w:cs="宋体"/>
          <w:highlight w:val="none"/>
        </w:rPr>
        <w:t>（3）国家能源局已发布并实施的《光伏发电工程工程量清单计价规范》（NB/T 11017-2022）；</w:t>
      </w:r>
    </w:p>
    <w:p w14:paraId="55E75C15">
      <w:pPr>
        <w:ind w:firstLine="480"/>
        <w:rPr>
          <w:rFonts w:hint="eastAsia" w:ascii="宋体" w:hAnsi="宋体" w:eastAsia="宋体" w:cs="宋体"/>
          <w:highlight w:val="none"/>
        </w:rPr>
      </w:pPr>
      <w:r>
        <w:rPr>
          <w:rFonts w:hint="eastAsia" w:ascii="宋体" w:hAnsi="宋体" w:eastAsia="宋体" w:cs="宋体"/>
          <w:highlight w:val="none"/>
        </w:rPr>
        <w:t>（4）</w:t>
      </w:r>
      <w:r>
        <w:rPr>
          <w:rFonts w:hint="eastAsia" w:ascii="宋体" w:hAnsi="宋体" w:eastAsia="宋体" w:cs="宋体"/>
          <w:highlight w:val="none"/>
          <w:lang w:val="en-US" w:eastAsia="zh-CN"/>
        </w:rPr>
        <w:t xml:space="preserve"> </w:t>
      </w:r>
      <w:r>
        <w:rPr>
          <w:rFonts w:hint="eastAsia" w:ascii="宋体" w:hAnsi="宋体" w:eastAsia="宋体" w:cs="宋体"/>
          <w:highlight w:val="none"/>
        </w:rPr>
        <w:t>《标准化工作导则 第1部分：标准化文件的结构和起草规则》（GB/T 1.1-2020）；</w:t>
      </w:r>
    </w:p>
    <w:p w14:paraId="719F32ED">
      <w:pPr>
        <w:ind w:firstLine="480"/>
        <w:rPr>
          <w:rFonts w:hint="eastAsia" w:ascii="宋体" w:hAnsi="宋体" w:eastAsia="宋体" w:cs="宋体"/>
          <w:highlight w:val="none"/>
        </w:rPr>
      </w:pPr>
      <w:r>
        <w:rPr>
          <w:rFonts w:hint="eastAsia" w:ascii="宋体" w:hAnsi="宋体" w:eastAsia="宋体" w:cs="宋体"/>
          <w:highlight w:val="none"/>
        </w:rPr>
        <w:t>（5）近期已建及在建工程相关资料；</w:t>
      </w:r>
    </w:p>
    <w:p w14:paraId="4D3DAB61">
      <w:pPr>
        <w:ind w:firstLine="480"/>
        <w:rPr>
          <w:rFonts w:hint="eastAsia" w:ascii="宋体" w:hAnsi="宋体" w:eastAsia="宋体" w:cs="宋体"/>
          <w:highlight w:val="none"/>
        </w:rPr>
      </w:pPr>
      <w:r>
        <w:rPr>
          <w:rFonts w:hint="eastAsia" w:ascii="宋体" w:hAnsi="宋体" w:eastAsia="宋体" w:cs="宋体"/>
          <w:highlight w:val="none"/>
        </w:rPr>
        <w:t>（6）行业内广泛征求的意见和建议。</w:t>
      </w:r>
    </w:p>
    <w:p w14:paraId="6EC46223">
      <w:pPr>
        <w:pStyle w:val="3"/>
        <w:ind w:firstLine="562"/>
        <w:rPr>
          <w:rFonts w:hint="eastAsia" w:ascii="宋体" w:hAnsi="宋体" w:eastAsia="宋体" w:cs="宋体"/>
          <w:highlight w:val="none"/>
        </w:rPr>
      </w:pPr>
      <w:bookmarkStart w:id="40" w:name="_Toc26763"/>
      <w:r>
        <w:rPr>
          <w:rFonts w:hint="eastAsia" w:ascii="宋体" w:hAnsi="宋体" w:eastAsia="宋体" w:cs="宋体"/>
          <w:highlight w:val="none"/>
        </w:rPr>
        <w:t>2.3 主要内容</w:t>
      </w:r>
      <w:bookmarkEnd w:id="40"/>
    </w:p>
    <w:p w14:paraId="2A83F7FF">
      <w:pPr>
        <w:pStyle w:val="3"/>
        <w:ind w:firstLine="562"/>
        <w:rPr>
          <w:rFonts w:hint="eastAsia" w:ascii="宋体" w:hAnsi="宋体" w:eastAsia="宋体" w:cs="宋体"/>
          <w:highlight w:val="none"/>
          <w:lang w:eastAsia="zh-CN"/>
        </w:rPr>
      </w:pPr>
      <w:bookmarkStart w:id="41" w:name="_Toc202"/>
      <w:r>
        <w:rPr>
          <w:rFonts w:hint="eastAsia" w:ascii="宋体" w:hAnsi="宋体" w:eastAsia="宋体" w:cs="宋体"/>
          <w:highlight w:val="none"/>
        </w:rPr>
        <w:t xml:space="preserve">2.3.1 </w:t>
      </w:r>
      <w:bookmarkEnd w:id="31"/>
      <w:bookmarkEnd w:id="32"/>
      <w:bookmarkEnd w:id="33"/>
      <w:bookmarkEnd w:id="34"/>
      <w:bookmarkEnd w:id="35"/>
      <w:bookmarkEnd w:id="36"/>
      <w:bookmarkEnd w:id="37"/>
      <w:r>
        <w:rPr>
          <w:rFonts w:hint="eastAsia" w:ascii="宋体" w:hAnsi="宋体" w:eastAsia="宋体" w:cs="宋体"/>
          <w:highlight w:val="none"/>
        </w:rPr>
        <w:t>第1部分</w:t>
      </w:r>
      <w:r>
        <w:rPr>
          <w:rFonts w:hint="eastAsia" w:ascii="宋体" w:hAnsi="宋体" w:eastAsia="宋体" w:cs="宋体"/>
          <w:highlight w:val="none"/>
          <w:lang w:eastAsia="zh-CN"/>
        </w:rPr>
        <w:t>：</w:t>
      </w:r>
      <w:bookmarkEnd w:id="38"/>
      <w:r>
        <w:rPr>
          <w:rFonts w:hint="eastAsia" w:ascii="宋体" w:hAnsi="宋体" w:eastAsia="宋体" w:cs="宋体"/>
          <w:highlight w:val="none"/>
          <w:lang w:val="en-US" w:eastAsia="zh-CN"/>
        </w:rPr>
        <w:t>范围</w:t>
      </w:r>
      <w:bookmarkEnd w:id="41"/>
    </w:p>
    <w:p w14:paraId="05CBBAB7">
      <w:pPr>
        <w:ind w:firstLine="480"/>
        <w:rPr>
          <w:rFonts w:hint="eastAsia" w:ascii="宋体" w:hAnsi="宋体" w:eastAsia="宋体" w:cs="宋体"/>
          <w:highlight w:val="none"/>
        </w:rPr>
      </w:pPr>
      <w:r>
        <w:rPr>
          <w:rFonts w:hint="eastAsia" w:ascii="宋体" w:hAnsi="宋体" w:eastAsia="宋体" w:cs="宋体"/>
          <w:highlight w:val="none"/>
        </w:rPr>
        <w:t>本文件规定了陆上光伏发电工程的建筑工程定额、设备安装工程定额、施工机械台班费定额。</w:t>
      </w:r>
    </w:p>
    <w:p w14:paraId="09750306">
      <w:pPr>
        <w:ind w:firstLine="480"/>
        <w:rPr>
          <w:rFonts w:hint="eastAsia" w:ascii="宋体" w:hAnsi="宋体" w:eastAsia="宋体" w:cs="宋体"/>
          <w:highlight w:val="none"/>
        </w:rPr>
      </w:pPr>
      <w:r>
        <w:rPr>
          <w:rFonts w:hint="eastAsia" w:ascii="宋体" w:hAnsi="宋体" w:eastAsia="宋体" w:cs="宋体"/>
          <w:highlight w:val="none"/>
        </w:rPr>
        <w:t>本文件适用于新建陆上光伏、水面光伏、分布式光伏电站设计概算、施工图预算编制。</w:t>
      </w:r>
    </w:p>
    <w:p w14:paraId="04ED4256">
      <w:pPr>
        <w:pStyle w:val="3"/>
        <w:ind w:firstLine="562"/>
        <w:rPr>
          <w:rFonts w:hint="eastAsia" w:ascii="宋体" w:hAnsi="宋体" w:eastAsia="宋体" w:cs="宋体"/>
          <w:highlight w:val="none"/>
        </w:rPr>
      </w:pPr>
      <w:bookmarkStart w:id="42" w:name="_Toc15445"/>
      <w:bookmarkStart w:id="43" w:name="_Toc21630"/>
      <w:r>
        <w:rPr>
          <w:rFonts w:hint="eastAsia" w:ascii="宋体" w:hAnsi="宋体" w:eastAsia="宋体" w:cs="宋体"/>
          <w:highlight w:val="none"/>
        </w:rPr>
        <w:t>2.3.</w:t>
      </w:r>
      <w:r>
        <w:rPr>
          <w:rFonts w:hint="eastAsia" w:cs="宋体"/>
          <w:highlight w:val="none"/>
          <w:lang w:val="en-US" w:eastAsia="zh-CN"/>
        </w:rPr>
        <w:t>2</w:t>
      </w:r>
      <w:r>
        <w:rPr>
          <w:rFonts w:hint="eastAsia" w:ascii="宋体" w:hAnsi="宋体" w:eastAsia="宋体" w:cs="宋体"/>
          <w:highlight w:val="none"/>
        </w:rPr>
        <w:t xml:space="preserve"> 第</w:t>
      </w:r>
      <w:r>
        <w:rPr>
          <w:rFonts w:hint="eastAsia" w:cs="宋体"/>
          <w:highlight w:val="none"/>
          <w:lang w:val="en-US" w:eastAsia="zh-CN"/>
        </w:rPr>
        <w:t>2</w:t>
      </w:r>
      <w:r>
        <w:rPr>
          <w:rFonts w:hint="eastAsia" w:ascii="宋体" w:hAnsi="宋体" w:eastAsia="宋体" w:cs="宋体"/>
          <w:highlight w:val="none"/>
        </w:rPr>
        <w:t>部分</w:t>
      </w:r>
      <w:r>
        <w:rPr>
          <w:rFonts w:hint="eastAsia" w:ascii="宋体" w:hAnsi="宋体" w:eastAsia="宋体" w:cs="宋体"/>
          <w:highlight w:val="none"/>
          <w:lang w:eastAsia="zh-CN"/>
        </w:rPr>
        <w:t>：</w:t>
      </w:r>
      <w:r>
        <w:rPr>
          <w:rFonts w:hint="eastAsia" w:ascii="宋体" w:hAnsi="宋体" w:eastAsia="宋体" w:cs="宋体"/>
          <w:highlight w:val="none"/>
        </w:rPr>
        <w:t>规范性引用文件</w:t>
      </w:r>
      <w:bookmarkEnd w:id="42"/>
      <w:bookmarkEnd w:id="43"/>
    </w:p>
    <w:p w14:paraId="423C273C">
      <w:pPr>
        <w:ind w:firstLine="480"/>
        <w:rPr>
          <w:rFonts w:hint="eastAsia" w:ascii="宋体" w:hAnsi="宋体" w:eastAsia="宋体" w:cs="宋体"/>
          <w:highlight w:val="none"/>
        </w:rPr>
      </w:pPr>
      <w:r>
        <w:rPr>
          <w:rFonts w:hint="eastAsia" w:ascii="宋体" w:hAnsi="宋体" w:eastAsia="宋体" w:cs="宋体"/>
          <w:highlight w:val="none"/>
        </w:rPr>
        <w:t>明确本文件制定所引用的规程、规范。</w:t>
      </w:r>
    </w:p>
    <w:p w14:paraId="547DF806">
      <w:pPr>
        <w:pStyle w:val="3"/>
        <w:ind w:firstLine="562"/>
        <w:rPr>
          <w:rFonts w:hint="default" w:ascii="宋体" w:hAnsi="宋体" w:eastAsia="宋体" w:cs="宋体"/>
          <w:highlight w:val="none"/>
          <w:lang w:val="en-US" w:eastAsia="zh-CN"/>
        </w:rPr>
      </w:pPr>
      <w:bookmarkStart w:id="44" w:name="_Toc6956"/>
      <w:bookmarkStart w:id="45" w:name="_Toc27467"/>
      <w:r>
        <w:rPr>
          <w:rFonts w:hint="eastAsia" w:ascii="宋体" w:hAnsi="宋体" w:eastAsia="宋体" w:cs="宋体"/>
          <w:highlight w:val="none"/>
        </w:rPr>
        <w:t>2.3.</w:t>
      </w:r>
      <w:r>
        <w:rPr>
          <w:rFonts w:hint="eastAsia" w:ascii="宋体" w:hAnsi="宋体" w:eastAsia="宋体" w:cs="宋体"/>
          <w:highlight w:val="none"/>
          <w:lang w:val="en-US" w:eastAsia="zh-CN"/>
        </w:rPr>
        <w:t xml:space="preserve">3 </w:t>
      </w:r>
      <w:bookmarkEnd w:id="44"/>
      <w:r>
        <w:rPr>
          <w:rFonts w:hint="eastAsia" w:ascii="宋体" w:hAnsi="宋体" w:eastAsia="宋体" w:cs="宋体"/>
          <w:highlight w:val="none"/>
        </w:rPr>
        <w:t>第</w:t>
      </w:r>
      <w:r>
        <w:rPr>
          <w:rFonts w:hint="eastAsia" w:ascii="宋体" w:hAnsi="宋体" w:eastAsia="宋体" w:cs="宋体"/>
          <w:highlight w:val="none"/>
          <w:lang w:val="en-US" w:eastAsia="zh-CN"/>
        </w:rPr>
        <w:t>3</w:t>
      </w:r>
      <w:r>
        <w:rPr>
          <w:rFonts w:hint="eastAsia" w:ascii="宋体" w:hAnsi="宋体" w:eastAsia="宋体" w:cs="宋体"/>
          <w:highlight w:val="none"/>
        </w:rPr>
        <w:t>部分</w:t>
      </w:r>
      <w:r>
        <w:rPr>
          <w:rFonts w:hint="eastAsia" w:ascii="宋体" w:hAnsi="宋体" w:eastAsia="宋体" w:cs="宋体"/>
          <w:highlight w:val="none"/>
          <w:lang w:eastAsia="zh-CN"/>
        </w:rPr>
        <w:t>：</w:t>
      </w:r>
      <w:r>
        <w:rPr>
          <w:rFonts w:hint="eastAsia" w:ascii="宋体" w:hAnsi="宋体" w:eastAsia="宋体" w:cs="宋体"/>
          <w:highlight w:val="none"/>
          <w:lang w:val="en-US" w:eastAsia="zh-CN"/>
        </w:rPr>
        <w:t>术语和定义</w:t>
      </w:r>
      <w:bookmarkEnd w:id="45"/>
    </w:p>
    <w:p w14:paraId="2A2A3243">
      <w:pPr>
        <w:ind w:firstLine="480"/>
        <w:rPr>
          <w:rFonts w:hint="eastAsia" w:ascii="宋体" w:hAnsi="宋体" w:eastAsia="宋体" w:cs="宋体"/>
          <w:highlight w:val="none"/>
        </w:rPr>
      </w:pPr>
      <w:r>
        <w:rPr>
          <w:rFonts w:hint="eastAsia" w:ascii="宋体" w:hAnsi="宋体" w:eastAsia="宋体" w:cs="宋体"/>
          <w:highlight w:val="none"/>
        </w:rPr>
        <w:t>本文件没有需要界定的术语和定义。</w:t>
      </w:r>
    </w:p>
    <w:p w14:paraId="7BF62D79">
      <w:pPr>
        <w:pStyle w:val="3"/>
        <w:ind w:left="0" w:leftChars="0" w:firstLine="481" w:firstLineChars="171"/>
        <w:rPr>
          <w:rFonts w:hint="eastAsia" w:cs="宋体"/>
          <w:highlight w:val="none"/>
          <w:lang w:val="en-US" w:eastAsia="zh-CN"/>
        </w:rPr>
      </w:pPr>
      <w:bookmarkStart w:id="46" w:name="_Toc27051"/>
      <w:bookmarkStart w:id="47" w:name="_Toc11866"/>
      <w:r>
        <w:rPr>
          <w:rFonts w:hint="eastAsia" w:cs="宋体"/>
          <w:highlight w:val="none"/>
          <w:lang w:val="en-US" w:eastAsia="zh-CN"/>
        </w:rPr>
        <w:t xml:space="preserve">2.3.4  </w:t>
      </w:r>
      <w:bookmarkEnd w:id="46"/>
      <w:r>
        <w:rPr>
          <w:rFonts w:hint="eastAsia" w:ascii="宋体" w:hAnsi="宋体" w:eastAsia="宋体" w:cs="宋体"/>
          <w:highlight w:val="none"/>
        </w:rPr>
        <w:t>第</w:t>
      </w:r>
      <w:r>
        <w:rPr>
          <w:rFonts w:hint="eastAsia" w:cs="宋体"/>
          <w:highlight w:val="none"/>
          <w:lang w:val="en-US" w:eastAsia="zh-CN"/>
        </w:rPr>
        <w:t>4</w:t>
      </w:r>
      <w:r>
        <w:rPr>
          <w:rFonts w:hint="eastAsia" w:ascii="宋体" w:hAnsi="宋体" w:eastAsia="宋体" w:cs="宋体"/>
          <w:highlight w:val="none"/>
        </w:rPr>
        <w:t>部分</w:t>
      </w:r>
      <w:r>
        <w:rPr>
          <w:rFonts w:hint="eastAsia" w:ascii="宋体" w:hAnsi="宋体" w:eastAsia="宋体" w:cs="宋体"/>
          <w:highlight w:val="none"/>
          <w:lang w:eastAsia="zh-CN"/>
        </w:rPr>
        <w:t>：</w:t>
      </w:r>
      <w:r>
        <w:rPr>
          <w:rFonts w:hint="eastAsia" w:cs="宋体"/>
          <w:highlight w:val="none"/>
          <w:lang w:val="en-US" w:eastAsia="zh-CN"/>
        </w:rPr>
        <w:t>目标、原则和要求</w:t>
      </w:r>
      <w:bookmarkEnd w:id="47"/>
    </w:p>
    <w:p w14:paraId="04B50455">
      <w:pPr>
        <w:ind w:firstLine="480"/>
        <w:rPr>
          <w:rFonts w:hint="eastAsia" w:ascii="宋体" w:hAnsi="宋体" w:eastAsia="宋体" w:cs="宋体"/>
          <w:highlight w:val="none"/>
        </w:rPr>
      </w:pPr>
      <w:r>
        <w:rPr>
          <w:rFonts w:hint="eastAsia" w:ascii="宋体" w:hAnsi="宋体" w:eastAsia="宋体" w:cs="宋体"/>
          <w:highlight w:val="none"/>
        </w:rPr>
        <w:t>明确了本文件的目标、原则和要求。</w:t>
      </w:r>
    </w:p>
    <w:p w14:paraId="71337FCE">
      <w:pPr>
        <w:pStyle w:val="3"/>
        <w:ind w:left="0" w:leftChars="0" w:firstLine="481" w:firstLineChars="171"/>
        <w:rPr>
          <w:rFonts w:hint="eastAsia" w:cs="宋体"/>
          <w:highlight w:val="none"/>
          <w:lang w:val="en-US" w:eastAsia="zh-CN"/>
        </w:rPr>
      </w:pPr>
      <w:bookmarkStart w:id="48" w:name="_Toc31017"/>
      <w:bookmarkStart w:id="49" w:name="_Toc22348"/>
      <w:r>
        <w:rPr>
          <w:rFonts w:hint="eastAsia" w:cs="宋体"/>
          <w:highlight w:val="none"/>
          <w:lang w:val="en-US" w:eastAsia="zh-CN"/>
        </w:rPr>
        <w:t xml:space="preserve">2.3.5  </w:t>
      </w:r>
      <w:bookmarkEnd w:id="48"/>
      <w:r>
        <w:rPr>
          <w:rFonts w:hint="eastAsia" w:ascii="宋体" w:hAnsi="宋体" w:eastAsia="宋体" w:cs="宋体"/>
          <w:highlight w:val="none"/>
        </w:rPr>
        <w:t>第</w:t>
      </w:r>
      <w:r>
        <w:rPr>
          <w:rFonts w:hint="eastAsia" w:cs="宋体"/>
          <w:highlight w:val="none"/>
          <w:lang w:val="en-US" w:eastAsia="zh-CN"/>
        </w:rPr>
        <w:t>5</w:t>
      </w:r>
      <w:r>
        <w:rPr>
          <w:rFonts w:hint="eastAsia" w:ascii="宋体" w:hAnsi="宋体" w:eastAsia="宋体" w:cs="宋体"/>
          <w:highlight w:val="none"/>
        </w:rPr>
        <w:t>部分</w:t>
      </w:r>
      <w:r>
        <w:rPr>
          <w:rFonts w:hint="eastAsia" w:ascii="宋体" w:hAnsi="宋体" w:eastAsia="宋体" w:cs="宋体"/>
          <w:highlight w:val="none"/>
          <w:lang w:eastAsia="zh-CN"/>
        </w:rPr>
        <w:t>：</w:t>
      </w:r>
      <w:r>
        <w:rPr>
          <w:rFonts w:hint="eastAsia" w:cs="宋体"/>
          <w:highlight w:val="none"/>
          <w:lang w:val="en-US" w:eastAsia="zh-CN"/>
        </w:rPr>
        <w:t>结构和说明</w:t>
      </w:r>
      <w:bookmarkEnd w:id="49"/>
    </w:p>
    <w:p w14:paraId="433BABE5">
      <w:pPr>
        <w:keepNext w:val="0"/>
        <w:keepLines w:val="0"/>
        <w:pageBreakBefore w:val="0"/>
        <w:widowControl w:val="0"/>
        <w:kinsoku/>
        <w:wordWrap/>
        <w:overflowPunct/>
        <w:topLinePunct w:val="0"/>
        <w:autoSpaceDE/>
        <w:autoSpaceDN/>
        <w:bidi w:val="0"/>
        <w:adjustRightInd/>
        <w:snapToGrid/>
        <w:ind w:firstLine="482"/>
        <w:jc w:val="left"/>
        <w:textAlignment w:val="auto"/>
        <w:rPr>
          <w:rFonts w:hint="default" w:ascii="宋体" w:hAnsi="宋体" w:eastAsia="宋体" w:cs="宋体"/>
          <w:b/>
          <w:bCs/>
          <w:color w:val="000000"/>
          <w:highlight w:val="none"/>
          <w:lang w:val="en-US" w:eastAsia="zh-CN"/>
        </w:rPr>
      </w:pPr>
      <w:r>
        <w:rPr>
          <w:rFonts w:hint="eastAsia" w:ascii="宋体" w:hAnsi="宋体" w:eastAsia="宋体" w:cs="宋体"/>
          <w:b/>
          <w:bCs/>
          <w:color w:val="000000"/>
          <w:highlight w:val="none"/>
          <w:lang w:val="en-US" w:eastAsia="zh-CN"/>
        </w:rPr>
        <w:t>2.3.5.1 结构</w:t>
      </w:r>
    </w:p>
    <w:p w14:paraId="13869B92">
      <w:pPr>
        <w:ind w:firstLine="480"/>
        <w:rPr>
          <w:rFonts w:hint="eastAsia" w:ascii="宋体" w:hAnsi="宋体" w:eastAsia="宋体" w:cs="宋体"/>
          <w:highlight w:val="none"/>
        </w:rPr>
      </w:pPr>
      <w:r>
        <w:rPr>
          <w:rFonts w:hint="eastAsia" w:ascii="宋体" w:hAnsi="宋体" w:eastAsia="宋体" w:cs="宋体"/>
          <w:highlight w:val="none"/>
        </w:rPr>
        <w:t>明确了</w:t>
      </w:r>
      <w:r>
        <w:rPr>
          <w:rFonts w:hint="eastAsia" w:ascii="宋体" w:hAnsi="宋体" w:eastAsia="宋体" w:cs="宋体"/>
          <w:highlight w:val="none"/>
          <w:lang w:val="en-US" w:eastAsia="zh-CN"/>
        </w:rPr>
        <w:t>本文件结构</w:t>
      </w:r>
      <w:r>
        <w:rPr>
          <w:rFonts w:hint="eastAsia" w:ascii="宋体" w:hAnsi="宋体" w:eastAsia="宋体" w:cs="宋体"/>
          <w:highlight w:val="none"/>
        </w:rPr>
        <w:t>。</w:t>
      </w:r>
    </w:p>
    <w:p w14:paraId="5452FA66">
      <w:pPr>
        <w:ind w:firstLine="482"/>
        <w:jc w:val="left"/>
        <w:rPr>
          <w:rFonts w:hint="default" w:ascii="宋体" w:hAnsi="宋体" w:eastAsia="宋体" w:cs="宋体"/>
          <w:b/>
          <w:bCs/>
          <w:color w:val="000000"/>
          <w:highlight w:val="none"/>
          <w:lang w:val="en-US" w:eastAsia="zh-CN"/>
        </w:rPr>
      </w:pPr>
      <w:r>
        <w:rPr>
          <w:rFonts w:hint="eastAsia" w:ascii="宋体" w:hAnsi="宋体" w:eastAsia="宋体" w:cs="宋体"/>
          <w:b/>
          <w:bCs/>
          <w:color w:val="000000"/>
          <w:highlight w:val="none"/>
          <w:lang w:val="en-US" w:eastAsia="zh-CN"/>
        </w:rPr>
        <w:t>2.3.5.2 说明</w:t>
      </w:r>
    </w:p>
    <w:p w14:paraId="5BB4D1AD">
      <w:pPr>
        <w:ind w:firstLine="480"/>
        <w:rPr>
          <w:rFonts w:hint="default" w:ascii="宋体" w:hAnsi="宋体" w:eastAsia="宋体" w:cs="宋体"/>
          <w:highlight w:val="none"/>
          <w:lang w:val="en-US" w:eastAsia="zh-CN"/>
        </w:rPr>
      </w:pPr>
      <w:r>
        <w:rPr>
          <w:rFonts w:hint="eastAsia" w:ascii="宋体" w:hAnsi="宋体" w:eastAsia="宋体" w:cs="宋体"/>
          <w:highlight w:val="none"/>
          <w:lang w:val="en-US" w:eastAsia="zh-CN"/>
        </w:rPr>
        <w:t>说明包括通用性说明、建筑工程定额说明和设备安装工程定额说明。</w:t>
      </w:r>
    </w:p>
    <w:p w14:paraId="5D2E403D">
      <w:pPr>
        <w:pStyle w:val="3"/>
        <w:ind w:left="0" w:leftChars="0" w:firstLine="481" w:firstLineChars="171"/>
        <w:rPr>
          <w:rFonts w:hint="eastAsia" w:ascii="宋体" w:hAnsi="宋体" w:eastAsia="宋体" w:cs="宋体"/>
          <w:highlight w:val="none"/>
        </w:rPr>
      </w:pPr>
      <w:bookmarkStart w:id="50" w:name="_Toc22014"/>
      <w:bookmarkStart w:id="51" w:name="_Toc19781"/>
      <w:bookmarkStart w:id="52" w:name="_Toc812"/>
      <w:bookmarkStart w:id="53" w:name="_Toc4644"/>
      <w:bookmarkStart w:id="54" w:name="_Toc22167"/>
      <w:bookmarkStart w:id="55" w:name="_Toc13285"/>
      <w:bookmarkStart w:id="56" w:name="_Toc27881"/>
      <w:bookmarkStart w:id="57" w:name="_Toc25401"/>
      <w:bookmarkStart w:id="58" w:name="_Toc8260"/>
      <w:r>
        <w:rPr>
          <w:rFonts w:hint="eastAsia" w:ascii="宋体" w:hAnsi="宋体" w:eastAsia="宋体" w:cs="宋体"/>
          <w:highlight w:val="none"/>
        </w:rPr>
        <w:t>2.3.</w:t>
      </w:r>
      <w:r>
        <w:rPr>
          <w:rFonts w:hint="eastAsia" w:ascii="宋体" w:hAnsi="宋体" w:eastAsia="宋体" w:cs="宋体"/>
          <w:highlight w:val="none"/>
          <w:lang w:val="en-US" w:eastAsia="zh-CN"/>
        </w:rPr>
        <w:t>6</w:t>
      </w:r>
      <w:r>
        <w:rPr>
          <w:rFonts w:hint="eastAsia" w:ascii="宋体" w:hAnsi="宋体" w:eastAsia="宋体" w:cs="宋体"/>
          <w:highlight w:val="none"/>
        </w:rPr>
        <w:t xml:space="preserve">  </w:t>
      </w:r>
      <w:bookmarkEnd w:id="50"/>
      <w:bookmarkEnd w:id="51"/>
      <w:bookmarkEnd w:id="52"/>
      <w:bookmarkEnd w:id="53"/>
      <w:bookmarkEnd w:id="54"/>
      <w:bookmarkEnd w:id="55"/>
      <w:bookmarkEnd w:id="56"/>
      <w:r>
        <w:rPr>
          <w:rFonts w:hint="eastAsia" w:ascii="宋体" w:hAnsi="宋体" w:eastAsia="宋体" w:cs="宋体"/>
          <w:highlight w:val="none"/>
        </w:rPr>
        <w:t>第</w:t>
      </w:r>
      <w:r>
        <w:rPr>
          <w:rFonts w:hint="eastAsia" w:ascii="宋体" w:hAnsi="宋体" w:eastAsia="宋体" w:cs="宋体"/>
          <w:highlight w:val="none"/>
          <w:lang w:val="en-US" w:eastAsia="zh-CN"/>
        </w:rPr>
        <w:t>6</w:t>
      </w:r>
      <w:r>
        <w:rPr>
          <w:rFonts w:hint="eastAsia" w:ascii="宋体" w:hAnsi="宋体" w:eastAsia="宋体" w:cs="宋体"/>
          <w:highlight w:val="none"/>
        </w:rPr>
        <w:t>部分：</w:t>
      </w:r>
      <w:bookmarkEnd w:id="57"/>
      <w:r>
        <w:rPr>
          <w:rFonts w:hint="eastAsia" w:ascii="宋体" w:hAnsi="宋体" w:eastAsia="宋体" w:cs="宋体"/>
          <w:highlight w:val="none"/>
        </w:rPr>
        <w:t>建筑工程定额</w:t>
      </w:r>
      <w:bookmarkEnd w:id="58"/>
    </w:p>
    <w:p w14:paraId="289570A8">
      <w:pPr>
        <w:ind w:firstLine="482"/>
        <w:jc w:val="left"/>
        <w:rPr>
          <w:rFonts w:hint="default" w:ascii="宋体" w:hAnsi="宋体" w:eastAsia="宋体" w:cs="宋体"/>
          <w:b/>
          <w:bCs/>
          <w:color w:val="000000"/>
          <w:highlight w:val="none"/>
          <w:lang w:val="en-US" w:eastAsia="zh-CN"/>
        </w:rPr>
      </w:pPr>
      <w:bookmarkStart w:id="59" w:name="_Toc11297"/>
      <w:r>
        <w:rPr>
          <w:rFonts w:hint="eastAsia" w:ascii="宋体" w:hAnsi="宋体" w:eastAsia="宋体" w:cs="宋体"/>
          <w:b/>
          <w:bCs/>
          <w:color w:val="000000"/>
          <w:highlight w:val="none"/>
        </w:rPr>
        <w:t>2.3.</w:t>
      </w:r>
      <w:r>
        <w:rPr>
          <w:rFonts w:hint="eastAsia" w:ascii="宋体" w:hAnsi="宋体" w:eastAsia="宋体" w:cs="宋体"/>
          <w:b/>
          <w:bCs/>
          <w:color w:val="000000"/>
          <w:highlight w:val="none"/>
          <w:lang w:val="en-US" w:eastAsia="zh-CN"/>
        </w:rPr>
        <w:t>6</w:t>
      </w:r>
      <w:r>
        <w:rPr>
          <w:rFonts w:hint="eastAsia" w:ascii="宋体" w:hAnsi="宋体" w:eastAsia="宋体" w:cs="宋体"/>
          <w:b/>
          <w:bCs/>
          <w:color w:val="000000"/>
          <w:highlight w:val="none"/>
        </w:rPr>
        <w:t xml:space="preserve">.1  </w:t>
      </w:r>
      <w:bookmarkEnd w:id="59"/>
      <w:r>
        <w:rPr>
          <w:rFonts w:hint="eastAsia" w:ascii="宋体" w:hAnsi="宋体" w:eastAsia="宋体" w:cs="宋体"/>
          <w:b/>
          <w:bCs/>
          <w:color w:val="000000"/>
          <w:highlight w:val="none"/>
          <w:lang w:val="en-US" w:eastAsia="zh-CN"/>
        </w:rPr>
        <w:t>土石方工程</w:t>
      </w:r>
    </w:p>
    <w:p w14:paraId="24601315">
      <w:pPr>
        <w:ind w:firstLine="480"/>
        <w:rPr>
          <w:rFonts w:hint="eastAsia" w:ascii="宋体" w:hAnsi="宋体" w:eastAsia="宋体" w:cs="宋体"/>
          <w:highlight w:val="none"/>
        </w:rPr>
      </w:pPr>
      <w:r>
        <w:rPr>
          <w:rFonts w:hint="eastAsia" w:ascii="宋体" w:hAnsi="宋体" w:eastAsia="宋体" w:cs="宋体"/>
          <w:highlight w:val="none"/>
        </w:rPr>
        <w:t>规定了清表、场地平整、</w:t>
      </w:r>
      <w:r>
        <w:rPr>
          <w:rFonts w:hint="eastAsia" w:ascii="宋体" w:hAnsi="宋体" w:eastAsia="宋体" w:cs="宋体"/>
          <w:highlight w:val="none"/>
          <w:lang w:val="en-US" w:eastAsia="zh-CN"/>
        </w:rPr>
        <w:t>土石方开挖</w:t>
      </w:r>
      <w:r>
        <w:rPr>
          <w:rFonts w:hint="eastAsia" w:ascii="宋体" w:hAnsi="宋体" w:eastAsia="宋体" w:cs="宋体"/>
          <w:highlight w:val="none"/>
          <w:lang w:eastAsia="zh-CN"/>
        </w:rPr>
        <w:t>、</w:t>
      </w:r>
      <w:r>
        <w:rPr>
          <w:rFonts w:hint="eastAsia" w:ascii="宋体" w:hAnsi="宋体" w:eastAsia="宋体" w:cs="宋体"/>
          <w:highlight w:val="none"/>
          <w:lang w:val="en-US" w:eastAsia="zh-CN"/>
        </w:rPr>
        <w:t>土</w:t>
      </w:r>
      <w:r>
        <w:rPr>
          <w:rFonts w:hint="eastAsia" w:ascii="宋体" w:hAnsi="宋体" w:eastAsia="宋体" w:cs="宋体"/>
          <w:highlight w:val="none"/>
        </w:rPr>
        <w:t>石方运输、土</w:t>
      </w:r>
      <w:r>
        <w:rPr>
          <w:rFonts w:hint="eastAsia" w:ascii="宋体" w:hAnsi="宋体" w:eastAsia="宋体" w:cs="宋体"/>
          <w:highlight w:val="none"/>
          <w:lang w:val="en-US" w:eastAsia="zh-CN"/>
        </w:rPr>
        <w:t>石</w:t>
      </w:r>
      <w:r>
        <w:rPr>
          <w:rFonts w:hint="eastAsia" w:ascii="宋体" w:hAnsi="宋体" w:eastAsia="宋体" w:cs="宋体"/>
          <w:highlight w:val="none"/>
        </w:rPr>
        <w:t>方回填、铺砂盖砖、顶管水平定向钻进等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6930C9EC">
      <w:pPr>
        <w:ind w:firstLine="482"/>
        <w:jc w:val="left"/>
        <w:rPr>
          <w:rFonts w:hint="eastAsia" w:ascii="宋体" w:hAnsi="宋体" w:eastAsia="宋体" w:cs="宋体"/>
          <w:b/>
          <w:bCs/>
          <w:color w:val="000000"/>
          <w:highlight w:val="none"/>
        </w:rPr>
      </w:pPr>
      <w:bookmarkStart w:id="60" w:name="_Toc11323"/>
      <w:r>
        <w:rPr>
          <w:rFonts w:hint="eastAsia" w:ascii="宋体" w:hAnsi="宋体" w:eastAsia="宋体" w:cs="宋体"/>
          <w:b/>
          <w:bCs/>
          <w:color w:val="000000"/>
          <w:highlight w:val="none"/>
        </w:rPr>
        <w:t>2.3.</w:t>
      </w:r>
      <w:r>
        <w:rPr>
          <w:rFonts w:hint="eastAsia" w:ascii="宋体" w:hAnsi="宋体" w:eastAsia="宋体" w:cs="宋体"/>
          <w:b/>
          <w:bCs/>
          <w:color w:val="000000"/>
          <w:highlight w:val="none"/>
          <w:lang w:val="en-US" w:eastAsia="zh-CN"/>
        </w:rPr>
        <w:t>6</w:t>
      </w:r>
      <w:r>
        <w:rPr>
          <w:rFonts w:hint="eastAsia" w:ascii="宋体" w:hAnsi="宋体" w:eastAsia="宋体" w:cs="宋体"/>
          <w:b/>
          <w:bCs/>
          <w:color w:val="000000"/>
          <w:highlight w:val="none"/>
        </w:rPr>
        <w:t xml:space="preserve">.2  </w:t>
      </w:r>
      <w:bookmarkEnd w:id="60"/>
      <w:r>
        <w:rPr>
          <w:rFonts w:hint="eastAsia" w:ascii="宋体" w:hAnsi="宋体" w:eastAsia="宋体" w:cs="宋体"/>
          <w:b/>
          <w:bCs/>
          <w:color w:val="000000"/>
          <w:highlight w:val="none"/>
        </w:rPr>
        <w:t>地基处理工程</w:t>
      </w:r>
    </w:p>
    <w:p w14:paraId="11B6C769">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各种桩基础</w:t>
      </w:r>
      <w:r>
        <w:rPr>
          <w:rFonts w:hint="eastAsia" w:ascii="宋体" w:hAnsi="宋体" w:eastAsia="宋体" w:cs="宋体"/>
          <w:highlight w:val="none"/>
        </w:rPr>
        <w:t>、钻孔灌浆、固结灌浆、回填、强夯、压密注浆等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5371B474">
      <w:pPr>
        <w:ind w:firstLine="482"/>
        <w:jc w:val="left"/>
        <w:rPr>
          <w:rFonts w:hint="eastAsia" w:ascii="宋体" w:hAnsi="宋体" w:eastAsia="宋体" w:cs="宋体"/>
          <w:b/>
          <w:bCs/>
          <w:color w:val="000000"/>
          <w:highlight w:val="none"/>
        </w:rPr>
      </w:pPr>
      <w:bookmarkStart w:id="61" w:name="_Toc14761"/>
      <w:r>
        <w:rPr>
          <w:rFonts w:hint="eastAsia" w:ascii="宋体" w:hAnsi="宋体" w:eastAsia="宋体" w:cs="宋体"/>
          <w:b/>
          <w:bCs/>
          <w:color w:val="000000"/>
          <w:highlight w:val="none"/>
        </w:rPr>
        <w:t>2.3.</w:t>
      </w:r>
      <w:r>
        <w:rPr>
          <w:rFonts w:hint="eastAsia" w:ascii="宋体" w:hAnsi="宋体" w:eastAsia="宋体" w:cs="宋体"/>
          <w:b/>
          <w:bCs/>
          <w:color w:val="000000"/>
          <w:highlight w:val="none"/>
          <w:lang w:val="en-US" w:eastAsia="zh-CN"/>
        </w:rPr>
        <w:t>6</w:t>
      </w:r>
      <w:r>
        <w:rPr>
          <w:rFonts w:hint="eastAsia" w:ascii="宋体" w:hAnsi="宋体" w:eastAsia="宋体" w:cs="宋体"/>
          <w:b/>
          <w:bCs/>
          <w:color w:val="000000"/>
          <w:highlight w:val="none"/>
        </w:rPr>
        <w:t xml:space="preserve">.3  </w:t>
      </w:r>
      <w:bookmarkEnd w:id="61"/>
      <w:r>
        <w:rPr>
          <w:rFonts w:hint="eastAsia" w:ascii="宋体" w:hAnsi="宋体" w:eastAsia="宋体" w:cs="宋体"/>
          <w:b/>
          <w:bCs/>
          <w:color w:val="000000"/>
          <w:highlight w:val="none"/>
        </w:rPr>
        <w:t>砌筑工程</w:t>
      </w:r>
    </w:p>
    <w:p w14:paraId="39B3B711">
      <w:pPr>
        <w:ind w:firstLine="480"/>
        <w:rPr>
          <w:rFonts w:hint="eastAsia" w:ascii="宋体" w:hAnsi="宋体" w:eastAsia="宋体" w:cs="宋体"/>
          <w:highlight w:val="none"/>
        </w:rPr>
      </w:pPr>
      <w:r>
        <w:rPr>
          <w:rFonts w:hint="eastAsia" w:ascii="宋体" w:hAnsi="宋体" w:eastAsia="宋体" w:cs="宋体"/>
          <w:highlight w:val="none"/>
        </w:rPr>
        <w:t>规定了砌石砌筑</w:t>
      </w:r>
      <w:r>
        <w:rPr>
          <w:rFonts w:hint="eastAsia" w:ascii="宋体" w:hAnsi="宋体" w:eastAsia="宋体" w:cs="宋体"/>
          <w:highlight w:val="none"/>
          <w:lang w:eastAsia="zh-CN"/>
        </w:rPr>
        <w:t>、</w:t>
      </w:r>
      <w:r>
        <w:rPr>
          <w:rFonts w:hint="eastAsia" w:ascii="宋体" w:hAnsi="宋体" w:eastAsia="宋体" w:cs="宋体"/>
          <w:highlight w:val="none"/>
        </w:rPr>
        <w:t>预制块砌筑、砖基础、砌体墙、设备基础砌体、砌体沟道、零星砌体、石笼等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70F72244">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4</w:t>
      </w:r>
      <w:r>
        <w:rPr>
          <w:rFonts w:hint="eastAsia" w:ascii="宋体" w:hAnsi="宋体" w:eastAsia="宋体" w:cs="宋体"/>
          <w:b/>
          <w:bCs/>
          <w:color w:val="000000"/>
          <w:highlight w:val="none"/>
        </w:rPr>
        <w:t xml:space="preserve">  混凝土与钢筋工程</w:t>
      </w:r>
    </w:p>
    <w:p w14:paraId="6099CFED">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现浇混凝土构件</w:t>
      </w:r>
      <w:r>
        <w:rPr>
          <w:rFonts w:hint="eastAsia" w:ascii="宋体" w:hAnsi="宋体" w:eastAsia="宋体" w:cs="宋体"/>
          <w:highlight w:val="none"/>
        </w:rPr>
        <w:t>、</w:t>
      </w:r>
      <w:r>
        <w:rPr>
          <w:rFonts w:hint="eastAsia" w:ascii="宋体" w:hAnsi="宋体" w:cs="宋体"/>
          <w:highlight w:val="none"/>
          <w:lang w:val="en-US" w:eastAsia="zh-CN"/>
        </w:rPr>
        <w:t>基础防腐、</w:t>
      </w:r>
      <w:r>
        <w:rPr>
          <w:rFonts w:hint="eastAsia" w:ascii="宋体" w:hAnsi="宋体" w:eastAsia="宋体" w:cs="宋体"/>
          <w:highlight w:val="none"/>
        </w:rPr>
        <w:t>台阶、坡道、散水、压顶、地坑、</w:t>
      </w:r>
      <w:r>
        <w:rPr>
          <w:rFonts w:hint="eastAsia" w:ascii="宋体" w:hAnsi="宋体" w:cs="宋体"/>
          <w:highlight w:val="none"/>
          <w:lang w:val="en-US" w:eastAsia="zh-CN"/>
        </w:rPr>
        <w:t>预制板</w:t>
      </w:r>
      <w:r>
        <w:rPr>
          <w:rFonts w:hint="eastAsia" w:ascii="宋体" w:hAnsi="宋体" w:eastAsia="宋体" w:cs="宋体"/>
          <w:highlight w:val="none"/>
        </w:rPr>
        <w:t>、钢筋、钢筋网片、钢筋笼、地脚螺栓、铁件、</w:t>
      </w:r>
      <w:r>
        <w:rPr>
          <w:rFonts w:hint="eastAsia" w:ascii="宋体" w:hAnsi="宋体" w:cs="宋体"/>
          <w:highlight w:val="none"/>
          <w:lang w:val="en-US" w:eastAsia="zh-CN"/>
        </w:rPr>
        <w:t>架空线路预制混凝土构件</w:t>
      </w:r>
      <w:r>
        <w:rPr>
          <w:rFonts w:hint="eastAsia" w:ascii="宋体" w:hAnsi="宋体" w:eastAsia="宋体" w:cs="宋体"/>
          <w:highlight w:val="none"/>
        </w:rPr>
        <w:t>、混凝土运输等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2FC9B680">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5</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金属结构</w:t>
      </w:r>
      <w:r>
        <w:rPr>
          <w:rFonts w:hint="eastAsia" w:ascii="宋体" w:hAnsi="宋体" w:eastAsia="宋体" w:cs="宋体"/>
          <w:b/>
          <w:bCs/>
          <w:color w:val="000000"/>
          <w:highlight w:val="none"/>
        </w:rPr>
        <w:t>工程</w:t>
      </w:r>
    </w:p>
    <w:p w14:paraId="59BD914F">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成品钢构件、离心杆构支架、避雷针塔</w:t>
      </w:r>
      <w:r>
        <w:rPr>
          <w:rFonts w:hint="eastAsia" w:ascii="宋体" w:hAnsi="宋体" w:eastAsia="宋体" w:cs="宋体"/>
          <w:highlight w:val="none"/>
        </w:rPr>
        <w:t>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0F9E3923">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室内外装饰工程</w:t>
      </w:r>
    </w:p>
    <w:p w14:paraId="5AAB8CC1">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地面装饰、墙面装饰、天棚装饰、屋面保温、屋面防水、屋面装饰、栏杆、门窗</w:t>
      </w:r>
      <w:r>
        <w:rPr>
          <w:rFonts w:hint="eastAsia" w:ascii="宋体" w:hAnsi="宋体" w:eastAsia="宋体" w:cs="宋体"/>
          <w:highlight w:val="none"/>
        </w:rPr>
        <w:t>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08E01C0A">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7</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室内给排水、采暖、通风、照明及室外消防给排水设备安装工程</w:t>
      </w:r>
    </w:p>
    <w:p w14:paraId="4D25710E">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室内外给排水、采暖、通风、照明、消防</w:t>
      </w:r>
      <w:r>
        <w:rPr>
          <w:rFonts w:hint="eastAsia" w:ascii="宋体" w:hAnsi="宋体" w:eastAsia="宋体" w:cs="宋体"/>
          <w:highlight w:val="none"/>
        </w:rPr>
        <w:t>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1B72A594">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8</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站区室外工程</w:t>
      </w:r>
    </w:p>
    <w:p w14:paraId="40C2194A">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站区室外大门、地坪、管道、井池、护坡挡墙、锚杆土钉支护、喷混凝土、栏栅、绿化</w:t>
      </w:r>
      <w:r>
        <w:rPr>
          <w:rFonts w:hint="eastAsia" w:ascii="宋体" w:hAnsi="宋体" w:eastAsia="宋体" w:cs="宋体"/>
          <w:highlight w:val="none"/>
        </w:rPr>
        <w:t>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44869681">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9</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道路工程</w:t>
      </w:r>
    </w:p>
    <w:p w14:paraId="1AC917F5">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道路垫层、基层、面层、路肩、路牙（缘）石、涵洞</w:t>
      </w:r>
      <w:r>
        <w:rPr>
          <w:rFonts w:hint="eastAsia" w:ascii="宋体" w:hAnsi="宋体" w:eastAsia="宋体" w:cs="宋体"/>
          <w:highlight w:val="none"/>
        </w:rPr>
        <w:t>等</w:t>
      </w:r>
      <w:r>
        <w:rPr>
          <w:rFonts w:hint="eastAsia" w:ascii="宋体" w:hAnsi="宋体" w:cs="宋体"/>
          <w:highlight w:val="none"/>
          <w:lang w:val="en-US" w:eastAsia="zh-CN"/>
        </w:rPr>
        <w:t>工程</w:t>
      </w:r>
      <w:r>
        <w:rPr>
          <w:rFonts w:hint="eastAsia" w:ascii="宋体" w:hAnsi="宋体" w:eastAsia="宋体" w:cs="宋体"/>
          <w:highlight w:val="none"/>
        </w:rPr>
        <w:t>人工、材料和施工机械资源消耗量。</w:t>
      </w:r>
    </w:p>
    <w:p w14:paraId="68252489">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w:t>
      </w:r>
      <w:r>
        <w:rPr>
          <w:rFonts w:hint="eastAsia" w:ascii="宋体" w:hAnsi="宋体" w:cs="宋体"/>
          <w:b/>
          <w:bCs/>
          <w:color w:val="000000"/>
          <w:highlight w:val="none"/>
          <w:lang w:val="en-US" w:eastAsia="zh-CN"/>
        </w:rPr>
        <w:t>10</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措施工程</w:t>
      </w:r>
    </w:p>
    <w:p w14:paraId="21CAE8F3">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基坑排水、脚手架</w:t>
      </w:r>
      <w:r>
        <w:rPr>
          <w:rFonts w:hint="eastAsia" w:ascii="宋体" w:hAnsi="宋体" w:eastAsia="宋体" w:cs="宋体"/>
          <w:highlight w:val="none"/>
        </w:rPr>
        <w:t>等人工、材料和施工机械资源消耗量。</w:t>
      </w:r>
    </w:p>
    <w:p w14:paraId="1732FEA0">
      <w:pPr>
        <w:pStyle w:val="3"/>
        <w:ind w:left="0" w:leftChars="0" w:firstLine="481" w:firstLineChars="171"/>
        <w:rPr>
          <w:rFonts w:hint="eastAsia" w:ascii="宋体" w:hAnsi="宋体" w:eastAsia="宋体" w:cs="宋体"/>
          <w:highlight w:val="none"/>
        </w:rPr>
      </w:pPr>
      <w:bookmarkStart w:id="62" w:name="_Toc8889"/>
      <w:bookmarkStart w:id="63" w:name="_Toc27492"/>
      <w:r>
        <w:rPr>
          <w:rFonts w:hint="eastAsia" w:ascii="宋体" w:hAnsi="宋体" w:eastAsia="宋体" w:cs="宋体"/>
          <w:highlight w:val="none"/>
        </w:rPr>
        <w:t>2.3.7  第7部分：</w:t>
      </w:r>
      <w:bookmarkEnd w:id="62"/>
      <w:r>
        <w:rPr>
          <w:rFonts w:hint="eastAsia" w:ascii="宋体" w:hAnsi="宋体" w:eastAsia="宋体" w:cs="宋体"/>
          <w:highlight w:val="none"/>
        </w:rPr>
        <w:t>设备安装工程定额</w:t>
      </w:r>
      <w:bookmarkEnd w:id="63"/>
    </w:p>
    <w:p w14:paraId="6A5A5A50">
      <w:pPr>
        <w:ind w:firstLine="482"/>
        <w:jc w:val="left"/>
        <w:rPr>
          <w:rFonts w:hint="eastAsia" w:ascii="宋体" w:hAnsi="宋体" w:eastAsia="宋体" w:cs="宋体"/>
          <w:b/>
          <w:bCs/>
          <w:color w:val="000000"/>
          <w:highlight w:val="none"/>
        </w:rPr>
      </w:pPr>
      <w:bookmarkStart w:id="64" w:name="_Toc24178"/>
      <w:r>
        <w:rPr>
          <w:rFonts w:hint="eastAsia" w:ascii="宋体" w:hAnsi="宋体" w:eastAsia="宋体" w:cs="宋体"/>
          <w:b/>
          <w:bCs/>
          <w:color w:val="000000"/>
          <w:highlight w:val="none"/>
        </w:rPr>
        <w:t xml:space="preserve">2.3.7.1  </w:t>
      </w:r>
      <w:bookmarkEnd w:id="64"/>
      <w:r>
        <w:rPr>
          <w:rFonts w:hint="eastAsia" w:ascii="宋体" w:hAnsi="宋体" w:eastAsia="宋体" w:cs="宋体"/>
          <w:b/>
          <w:bCs/>
          <w:color w:val="000000"/>
          <w:highlight w:val="none"/>
        </w:rPr>
        <w:t>发电场设备安装工程</w:t>
      </w:r>
    </w:p>
    <w:p w14:paraId="4FADD06B">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组件</w:t>
      </w:r>
      <w:r>
        <w:rPr>
          <w:rFonts w:hint="eastAsia" w:ascii="宋体" w:hAnsi="宋体" w:eastAsia="宋体" w:cs="宋体"/>
          <w:highlight w:val="none"/>
        </w:rPr>
        <w:t>、</w:t>
      </w:r>
      <w:r>
        <w:rPr>
          <w:rFonts w:hint="eastAsia" w:ascii="宋体" w:hAnsi="宋体" w:eastAsia="宋体" w:cs="宋体"/>
          <w:highlight w:val="none"/>
          <w:lang w:val="en-US" w:eastAsia="zh-CN"/>
        </w:rPr>
        <w:t>支架、箱变、逆变器、汇流箱、光伏区监控系统、BIPV系统、组件及支架运输</w:t>
      </w:r>
      <w:r>
        <w:rPr>
          <w:rFonts w:hint="eastAsia" w:ascii="宋体" w:hAnsi="宋体" w:eastAsia="宋体" w:cs="宋体"/>
          <w:highlight w:val="none"/>
        </w:rPr>
        <w:t>等</w:t>
      </w:r>
      <w:r>
        <w:rPr>
          <w:rFonts w:hint="eastAsia" w:ascii="宋体" w:hAnsi="宋体" w:eastAsia="宋体" w:cs="宋体"/>
          <w:highlight w:val="none"/>
          <w:lang w:val="en-US" w:eastAsia="zh-CN"/>
        </w:rPr>
        <w:t>安装</w:t>
      </w:r>
      <w:r>
        <w:rPr>
          <w:rFonts w:hint="eastAsia" w:ascii="宋体" w:hAnsi="宋体" w:eastAsia="宋体" w:cs="宋体"/>
          <w:highlight w:val="none"/>
        </w:rPr>
        <w:t>工作的人工、材料和施工机械消耗量。</w:t>
      </w:r>
    </w:p>
    <w:p w14:paraId="3262F9F3">
      <w:pPr>
        <w:ind w:firstLine="482"/>
        <w:jc w:val="left"/>
        <w:rPr>
          <w:rFonts w:hint="eastAsia" w:ascii="宋体" w:hAnsi="宋体" w:eastAsia="宋体" w:cs="宋体"/>
          <w:b/>
          <w:bCs/>
          <w:color w:val="000000"/>
          <w:highlight w:val="none"/>
        </w:rPr>
      </w:pPr>
      <w:bookmarkStart w:id="65" w:name="_Toc19424"/>
      <w:r>
        <w:rPr>
          <w:rFonts w:hint="eastAsia" w:ascii="宋体" w:hAnsi="宋体" w:eastAsia="宋体" w:cs="宋体"/>
          <w:b/>
          <w:bCs/>
          <w:color w:val="000000"/>
          <w:highlight w:val="none"/>
        </w:rPr>
        <w:t xml:space="preserve">2.3.7.2  </w:t>
      </w:r>
      <w:bookmarkEnd w:id="65"/>
      <w:r>
        <w:rPr>
          <w:rFonts w:hint="eastAsia" w:ascii="宋体" w:hAnsi="宋体" w:eastAsia="宋体" w:cs="宋体"/>
          <w:b/>
          <w:bCs/>
          <w:color w:val="000000"/>
          <w:highlight w:val="none"/>
        </w:rPr>
        <w:t>升压站设备安装工程</w:t>
      </w:r>
    </w:p>
    <w:p w14:paraId="5FFC4D1A">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主变压器、中性点接地成套设备、中性点电阻柜、多组分油中溶解气体在线监测装置、组合电器、穿墙套管、断路器、隔离开关、接地开关、电流互感器、电压互感器、避雷器、熔断器、成套高压配电柜、消弧装置、接地变及接地电阻成套装置、动态无功补偿装置、电容器组、站用变压器、低压配电柜、配电箱、固定柴油发电机组、支柱绝缘子、控制屏柜、保护屏柜、交直流配电装置屏、不间断电源系统屏柜、其他屏柜、光功率预测系统、蓄电池组、控制箱、监控系统安装、预制舱体、SF6监测装置、储能电池</w:t>
      </w:r>
      <w:r>
        <w:rPr>
          <w:rFonts w:hint="eastAsia" w:ascii="宋体" w:hAnsi="宋体" w:eastAsia="宋体" w:cs="宋体"/>
          <w:highlight w:val="none"/>
        </w:rPr>
        <w:t>等</w:t>
      </w:r>
      <w:r>
        <w:rPr>
          <w:rFonts w:hint="eastAsia" w:ascii="宋体" w:hAnsi="宋体" w:eastAsia="宋体" w:cs="宋体"/>
          <w:highlight w:val="none"/>
          <w:lang w:val="en-US" w:eastAsia="zh-CN"/>
        </w:rPr>
        <w:t>安装</w:t>
      </w:r>
      <w:r>
        <w:rPr>
          <w:rFonts w:hint="eastAsia" w:ascii="宋体" w:hAnsi="宋体" w:eastAsia="宋体" w:cs="宋体"/>
          <w:highlight w:val="none"/>
        </w:rPr>
        <w:t>工作的人工、材料和施工机械消耗量。</w:t>
      </w:r>
    </w:p>
    <w:p w14:paraId="6A4240E7">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2.3.7.</w:t>
      </w:r>
      <w:r>
        <w:rPr>
          <w:rFonts w:hint="eastAsia" w:ascii="宋体" w:hAnsi="宋体" w:cs="宋体"/>
          <w:b/>
          <w:bCs/>
          <w:color w:val="000000"/>
          <w:highlight w:val="none"/>
          <w:lang w:val="en-US" w:eastAsia="zh-CN"/>
        </w:rPr>
        <w:t>3</w:t>
      </w:r>
      <w:r>
        <w:rPr>
          <w:rFonts w:hint="eastAsia" w:ascii="宋体" w:hAnsi="宋体" w:eastAsia="宋体" w:cs="宋体"/>
          <w:b/>
          <w:bCs/>
          <w:color w:val="000000"/>
          <w:highlight w:val="none"/>
        </w:rPr>
        <w:t xml:space="preserve">  电缆及母线安装工程</w:t>
      </w:r>
    </w:p>
    <w:p w14:paraId="120782AE">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电缆及母线安装工程定额包括光伏专用电缆、电力电缆、控制电缆、电缆在线监测、电缆终端头、电缆中间接头、电缆分接箱、光缆、光缆接头盒、电缆桥架、电缆支架、电缆保护管、电缆防火、母线</w:t>
      </w:r>
      <w:r>
        <w:rPr>
          <w:rFonts w:hint="eastAsia" w:ascii="宋体" w:hAnsi="宋体" w:eastAsia="宋体" w:cs="宋体"/>
          <w:highlight w:val="none"/>
        </w:rPr>
        <w:t>等</w:t>
      </w:r>
      <w:r>
        <w:rPr>
          <w:rFonts w:hint="eastAsia" w:ascii="宋体" w:hAnsi="宋体" w:eastAsia="宋体" w:cs="宋体"/>
          <w:highlight w:val="none"/>
          <w:lang w:val="en-US" w:eastAsia="zh-CN"/>
        </w:rPr>
        <w:t>安装</w:t>
      </w:r>
      <w:r>
        <w:rPr>
          <w:rFonts w:hint="eastAsia" w:ascii="宋体" w:hAnsi="宋体" w:eastAsia="宋体" w:cs="宋体"/>
          <w:highlight w:val="none"/>
        </w:rPr>
        <w:t>工作的人工、材料和施工机械消耗量。</w:t>
      </w:r>
    </w:p>
    <w:p w14:paraId="0FD71AB5">
      <w:pPr>
        <w:ind w:firstLine="480"/>
        <w:rPr>
          <w:rFonts w:hint="eastAsia" w:ascii="宋体" w:hAnsi="宋体" w:eastAsia="宋体" w:cs="宋体"/>
          <w:highlight w:val="none"/>
        </w:rPr>
      </w:pPr>
      <w:r>
        <w:rPr>
          <w:rFonts w:hint="eastAsia" w:ascii="宋体" w:hAnsi="宋体" w:eastAsia="宋体" w:cs="宋体"/>
          <w:highlight w:val="none"/>
        </w:rPr>
        <w:t>。</w:t>
      </w:r>
    </w:p>
    <w:p w14:paraId="09EE93C3">
      <w:pPr>
        <w:ind w:firstLine="482"/>
        <w:jc w:val="left"/>
        <w:rPr>
          <w:rFonts w:hint="eastAsia" w:ascii="宋体" w:hAnsi="宋体" w:eastAsia="宋体" w:cs="宋体"/>
          <w:b/>
          <w:bCs/>
          <w:color w:val="000000"/>
          <w:highlight w:val="none"/>
        </w:rPr>
      </w:pPr>
      <w:bookmarkStart w:id="66" w:name="_Toc7163"/>
      <w:r>
        <w:rPr>
          <w:rFonts w:hint="eastAsia" w:ascii="宋体" w:hAnsi="宋体" w:eastAsia="宋体" w:cs="宋体"/>
          <w:b/>
          <w:bCs/>
          <w:color w:val="000000"/>
          <w:highlight w:val="none"/>
        </w:rPr>
        <w:t>2.3.7.</w:t>
      </w:r>
      <w:r>
        <w:rPr>
          <w:rFonts w:hint="eastAsia" w:ascii="宋体" w:hAnsi="宋体" w:cs="宋体"/>
          <w:b/>
          <w:bCs/>
          <w:color w:val="000000"/>
          <w:highlight w:val="none"/>
          <w:lang w:val="en-US" w:eastAsia="zh-CN"/>
        </w:rPr>
        <w:t>4</w:t>
      </w:r>
      <w:r>
        <w:rPr>
          <w:rFonts w:hint="eastAsia" w:ascii="宋体" w:hAnsi="宋体" w:eastAsia="宋体" w:cs="宋体"/>
          <w:b/>
          <w:bCs/>
          <w:color w:val="000000"/>
          <w:highlight w:val="none"/>
        </w:rPr>
        <w:t xml:space="preserve">  架空线路安装工程</w:t>
      </w:r>
    </w:p>
    <w:p w14:paraId="3CB1BB19">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cs="宋体"/>
          <w:highlight w:val="none"/>
          <w:lang w:val="en-US" w:eastAsia="zh-CN"/>
        </w:rPr>
        <w:t>杆塔</w:t>
      </w:r>
      <w:r>
        <w:rPr>
          <w:rFonts w:hint="eastAsia" w:ascii="宋体" w:hAnsi="宋体" w:eastAsia="宋体" w:cs="宋体"/>
          <w:highlight w:val="none"/>
          <w:lang w:val="en-US" w:eastAsia="zh-CN"/>
        </w:rPr>
        <w:t>组立、拉线、标志牌、避雷线、导线、光缆、绝缘子</w:t>
      </w:r>
      <w:r>
        <w:rPr>
          <w:rFonts w:hint="eastAsia" w:ascii="宋体" w:hAnsi="宋体" w:cs="宋体"/>
          <w:highlight w:val="none"/>
          <w:lang w:val="en-US" w:eastAsia="zh-CN"/>
        </w:rPr>
        <w:t>、</w:t>
      </w:r>
      <w:r>
        <w:rPr>
          <w:rFonts w:hint="eastAsia" w:ascii="宋体" w:hAnsi="宋体" w:eastAsia="宋体" w:cs="宋体"/>
          <w:highlight w:val="none"/>
          <w:lang w:val="en-US" w:eastAsia="zh-CN"/>
        </w:rPr>
        <w:t>金具、跳线、阻尼线、阻冰环、防鸟刺</w:t>
      </w:r>
      <w:r>
        <w:rPr>
          <w:rFonts w:hint="eastAsia" w:ascii="宋体" w:hAnsi="宋体" w:cs="宋体"/>
          <w:highlight w:val="none"/>
          <w:lang w:val="en-US" w:eastAsia="zh-CN"/>
        </w:rPr>
        <w:t>、</w:t>
      </w:r>
      <w:r>
        <w:rPr>
          <w:rFonts w:hint="eastAsia" w:ascii="宋体" w:hAnsi="宋体" w:eastAsia="宋体" w:cs="宋体"/>
          <w:highlight w:val="none"/>
          <w:lang w:val="en-US" w:eastAsia="zh-CN"/>
        </w:rPr>
        <w:t>驱鸟器、在线监测仪器、OPGW接续与测量、工地运输</w:t>
      </w:r>
      <w:r>
        <w:rPr>
          <w:rFonts w:hint="eastAsia" w:ascii="宋体" w:hAnsi="宋体" w:eastAsia="宋体" w:cs="宋体"/>
          <w:highlight w:val="none"/>
        </w:rPr>
        <w:t>等</w:t>
      </w:r>
      <w:r>
        <w:rPr>
          <w:rFonts w:hint="eastAsia" w:ascii="宋体" w:hAnsi="宋体" w:eastAsia="宋体" w:cs="宋体"/>
          <w:highlight w:val="none"/>
          <w:lang w:val="en-US" w:eastAsia="zh-CN"/>
        </w:rPr>
        <w:t>安装</w:t>
      </w:r>
      <w:r>
        <w:rPr>
          <w:rFonts w:hint="eastAsia" w:ascii="宋体" w:hAnsi="宋体" w:eastAsia="宋体" w:cs="宋体"/>
          <w:highlight w:val="none"/>
        </w:rPr>
        <w:t>工作的人工、材料和施工机械消耗量。</w:t>
      </w:r>
    </w:p>
    <w:p w14:paraId="22F0B107">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2.3.7.</w:t>
      </w:r>
      <w:r>
        <w:rPr>
          <w:rFonts w:hint="eastAsia" w:ascii="宋体" w:hAnsi="宋体" w:eastAsia="宋体" w:cs="宋体"/>
          <w:b/>
          <w:bCs/>
          <w:color w:val="000000"/>
          <w:highlight w:val="none"/>
          <w:lang w:val="en-US" w:eastAsia="zh-CN"/>
        </w:rPr>
        <w:t>5</w:t>
      </w:r>
      <w:r>
        <w:rPr>
          <w:rFonts w:hint="eastAsia" w:ascii="宋体" w:hAnsi="宋体" w:eastAsia="宋体" w:cs="宋体"/>
          <w:b/>
          <w:bCs/>
          <w:color w:val="000000"/>
          <w:highlight w:val="none"/>
        </w:rPr>
        <w:t xml:space="preserve">  </w:t>
      </w:r>
      <w:bookmarkEnd w:id="66"/>
      <w:r>
        <w:rPr>
          <w:rFonts w:hint="eastAsia" w:ascii="宋体" w:hAnsi="宋体" w:eastAsia="宋体" w:cs="宋体"/>
          <w:b/>
          <w:bCs/>
          <w:color w:val="000000"/>
          <w:highlight w:val="none"/>
        </w:rPr>
        <w:t>接地安装工程</w:t>
      </w:r>
    </w:p>
    <w:p w14:paraId="43F03262">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接地箱柜</w:t>
      </w:r>
      <w:r>
        <w:rPr>
          <w:rFonts w:hint="eastAsia" w:ascii="宋体" w:hAnsi="宋体" w:eastAsia="宋体" w:cs="宋体"/>
          <w:highlight w:val="none"/>
        </w:rPr>
        <w:t>、</w:t>
      </w:r>
      <w:r>
        <w:rPr>
          <w:rFonts w:hint="eastAsia" w:ascii="宋体" w:hAnsi="宋体" w:eastAsia="宋体" w:cs="宋体"/>
          <w:highlight w:val="none"/>
          <w:lang w:val="en-US" w:eastAsia="zh-CN"/>
        </w:rPr>
        <w:t>接地模块</w:t>
      </w:r>
      <w:r>
        <w:rPr>
          <w:rFonts w:hint="eastAsia" w:ascii="宋体" w:hAnsi="宋体" w:eastAsia="宋体" w:cs="宋体"/>
          <w:highlight w:val="none"/>
        </w:rPr>
        <w:t>、</w:t>
      </w:r>
      <w:r>
        <w:rPr>
          <w:rFonts w:hint="eastAsia" w:ascii="宋体" w:hAnsi="宋体" w:eastAsia="宋体" w:cs="宋体"/>
          <w:highlight w:val="none"/>
          <w:lang w:val="en-US" w:eastAsia="zh-CN"/>
        </w:rPr>
        <w:t>接地极</w:t>
      </w:r>
      <w:r>
        <w:rPr>
          <w:rFonts w:hint="eastAsia" w:ascii="宋体" w:hAnsi="宋体" w:eastAsia="宋体" w:cs="宋体"/>
          <w:highlight w:val="none"/>
        </w:rPr>
        <w:t>、</w:t>
      </w:r>
      <w:r>
        <w:rPr>
          <w:rFonts w:hint="eastAsia" w:ascii="宋体" w:hAnsi="宋体" w:eastAsia="宋体" w:cs="宋体"/>
          <w:highlight w:val="none"/>
          <w:lang w:val="en-US" w:eastAsia="zh-CN"/>
        </w:rPr>
        <w:t>接地母线</w:t>
      </w:r>
      <w:r>
        <w:rPr>
          <w:rFonts w:hint="eastAsia" w:ascii="宋体" w:hAnsi="宋体" w:eastAsia="宋体" w:cs="宋体"/>
          <w:highlight w:val="none"/>
        </w:rPr>
        <w:t>、</w:t>
      </w:r>
      <w:r>
        <w:rPr>
          <w:rFonts w:hint="eastAsia" w:ascii="宋体" w:hAnsi="宋体" w:eastAsia="宋体" w:cs="宋体"/>
          <w:highlight w:val="none"/>
          <w:lang w:val="en-US" w:eastAsia="zh-CN"/>
        </w:rPr>
        <w:t>接地导线、降阻剂</w:t>
      </w:r>
      <w:r>
        <w:rPr>
          <w:rFonts w:hint="eastAsia" w:ascii="宋体" w:hAnsi="宋体" w:eastAsia="宋体" w:cs="宋体"/>
          <w:highlight w:val="none"/>
        </w:rPr>
        <w:t>等安装工作的人工、材料和施工机械消耗量。</w:t>
      </w:r>
    </w:p>
    <w:p w14:paraId="6D0E5865">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2.3.7.</w:t>
      </w:r>
      <w:r>
        <w:rPr>
          <w:rFonts w:hint="eastAsia" w:ascii="宋体" w:hAnsi="宋体" w:cs="宋体"/>
          <w:b/>
          <w:bCs/>
          <w:color w:val="000000"/>
          <w:highlight w:val="none"/>
          <w:lang w:val="en-US" w:eastAsia="zh-CN"/>
        </w:rPr>
        <w:t>6</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站区照明</w:t>
      </w:r>
      <w:r>
        <w:rPr>
          <w:rFonts w:hint="eastAsia" w:ascii="宋体" w:hAnsi="宋体" w:eastAsia="宋体" w:cs="宋体"/>
          <w:b/>
          <w:bCs/>
          <w:color w:val="000000"/>
          <w:highlight w:val="none"/>
        </w:rPr>
        <w:t>安装工程</w:t>
      </w:r>
    </w:p>
    <w:p w14:paraId="78C54551">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路灯、庭院灯</w:t>
      </w:r>
      <w:r>
        <w:rPr>
          <w:rFonts w:hint="eastAsia" w:ascii="宋体" w:hAnsi="宋体" w:eastAsia="宋体" w:cs="宋体"/>
          <w:highlight w:val="none"/>
        </w:rPr>
        <w:t>等安装工作的人工、材料和施工机械消耗量。</w:t>
      </w:r>
    </w:p>
    <w:p w14:paraId="345F5042">
      <w:pPr>
        <w:ind w:firstLine="482"/>
        <w:jc w:val="left"/>
        <w:rPr>
          <w:rFonts w:hint="eastAsia" w:ascii="宋体" w:hAnsi="宋体" w:eastAsia="宋体" w:cs="宋体"/>
          <w:b/>
          <w:bCs/>
          <w:color w:val="000000"/>
          <w:highlight w:val="none"/>
        </w:rPr>
      </w:pPr>
      <w:r>
        <w:rPr>
          <w:rFonts w:hint="eastAsia" w:ascii="宋体" w:hAnsi="宋体" w:eastAsia="宋体" w:cs="宋体"/>
          <w:b/>
          <w:bCs/>
          <w:color w:val="000000"/>
          <w:highlight w:val="none"/>
        </w:rPr>
        <w:t>2.3.7.</w:t>
      </w:r>
      <w:r>
        <w:rPr>
          <w:rFonts w:hint="eastAsia" w:ascii="宋体" w:hAnsi="宋体" w:cs="宋体"/>
          <w:b/>
          <w:bCs/>
          <w:color w:val="000000"/>
          <w:highlight w:val="none"/>
          <w:lang w:val="en-US" w:eastAsia="zh-CN"/>
        </w:rPr>
        <w:t>7</w:t>
      </w:r>
      <w:r>
        <w:rPr>
          <w:rFonts w:hint="eastAsia" w:ascii="宋体" w:hAnsi="宋体" w:eastAsia="宋体" w:cs="宋体"/>
          <w:b/>
          <w:bCs/>
          <w:color w:val="000000"/>
          <w:highlight w:val="none"/>
        </w:rPr>
        <w:t xml:space="preserve">  </w:t>
      </w:r>
      <w:r>
        <w:rPr>
          <w:rFonts w:hint="eastAsia" w:ascii="宋体" w:hAnsi="宋体" w:cs="宋体"/>
          <w:b/>
          <w:bCs/>
          <w:color w:val="000000"/>
          <w:highlight w:val="none"/>
          <w:lang w:val="en-US" w:eastAsia="zh-CN"/>
        </w:rPr>
        <w:t>调试及试验工程</w:t>
      </w:r>
    </w:p>
    <w:p w14:paraId="0BC4CA1F">
      <w:pPr>
        <w:ind w:firstLine="480"/>
        <w:rPr>
          <w:rFonts w:hint="eastAsia" w:ascii="宋体" w:hAnsi="宋体" w:eastAsia="宋体" w:cs="宋体"/>
          <w:highlight w:val="none"/>
        </w:rPr>
      </w:pPr>
      <w:r>
        <w:rPr>
          <w:rFonts w:hint="eastAsia" w:ascii="宋体" w:hAnsi="宋体" w:eastAsia="宋体" w:cs="宋体"/>
          <w:highlight w:val="none"/>
        </w:rPr>
        <w:t>规定了</w:t>
      </w:r>
      <w:r>
        <w:rPr>
          <w:rFonts w:hint="eastAsia" w:ascii="宋体" w:hAnsi="宋体" w:eastAsia="宋体" w:cs="宋体"/>
          <w:highlight w:val="none"/>
          <w:lang w:val="en-US" w:eastAsia="zh-CN"/>
        </w:rPr>
        <w:t>发电场调试、分系统调试</w:t>
      </w:r>
      <w:r>
        <w:rPr>
          <w:rFonts w:hint="eastAsia" w:ascii="宋体" w:hAnsi="宋体" w:cs="宋体"/>
          <w:highlight w:val="none"/>
          <w:lang w:val="en-US" w:eastAsia="zh-CN"/>
        </w:rPr>
        <w:t>、特殊调试工程</w:t>
      </w:r>
      <w:r>
        <w:rPr>
          <w:rFonts w:hint="eastAsia" w:ascii="宋体" w:hAnsi="宋体" w:eastAsia="宋体" w:cs="宋体"/>
          <w:highlight w:val="none"/>
        </w:rPr>
        <w:t>等</w:t>
      </w:r>
      <w:r>
        <w:rPr>
          <w:rFonts w:hint="eastAsia" w:ascii="宋体" w:hAnsi="宋体" w:cs="宋体"/>
          <w:highlight w:val="none"/>
          <w:lang w:val="en-US" w:eastAsia="zh-CN"/>
        </w:rPr>
        <w:t>调试</w:t>
      </w:r>
      <w:r>
        <w:rPr>
          <w:rFonts w:hint="eastAsia" w:ascii="宋体" w:hAnsi="宋体" w:eastAsia="宋体" w:cs="宋体"/>
          <w:highlight w:val="none"/>
        </w:rPr>
        <w:t>工作的人工、材料和施工机械消耗量。</w:t>
      </w:r>
    </w:p>
    <w:bookmarkEnd w:id="15"/>
    <w:bookmarkEnd w:id="16"/>
    <w:bookmarkEnd w:id="17"/>
    <w:bookmarkEnd w:id="18"/>
    <w:bookmarkEnd w:id="19"/>
    <w:p w14:paraId="17994304">
      <w:pPr>
        <w:pStyle w:val="2"/>
        <w:ind w:firstLine="562"/>
        <w:rPr>
          <w:rFonts w:hint="eastAsia" w:ascii="宋体" w:hAnsi="宋体" w:eastAsia="宋体" w:cs="宋体"/>
          <w:sz w:val="28"/>
          <w:szCs w:val="28"/>
          <w:highlight w:val="none"/>
        </w:rPr>
      </w:pPr>
      <w:bookmarkStart w:id="67" w:name="_Toc926"/>
      <w:r>
        <w:rPr>
          <w:rFonts w:hint="eastAsia" w:ascii="宋体" w:hAnsi="宋体" w:eastAsia="宋体" w:cs="宋体"/>
          <w:sz w:val="28"/>
          <w:szCs w:val="28"/>
          <w:highlight w:val="none"/>
        </w:rPr>
        <w:t>三、新旧标准主要技术变化及修订理由</w:t>
      </w:r>
      <w:bookmarkEnd w:id="67"/>
    </w:p>
    <w:p w14:paraId="23FE36D4">
      <w:pPr>
        <w:pStyle w:val="3"/>
        <w:ind w:firstLine="562"/>
        <w:rPr>
          <w:rFonts w:hint="default" w:ascii="宋体" w:hAnsi="宋体" w:eastAsia="宋体" w:cs="宋体"/>
          <w:highlight w:val="none"/>
          <w:lang w:val="en-US" w:eastAsia="zh-CN"/>
        </w:rPr>
      </w:pPr>
      <w:bookmarkStart w:id="68" w:name="_Toc18713"/>
      <w:bookmarkStart w:id="69" w:name="_Toc19217"/>
      <w:r>
        <w:rPr>
          <w:rFonts w:hint="eastAsia" w:ascii="宋体" w:hAnsi="宋体" w:eastAsia="宋体" w:cs="宋体"/>
          <w:highlight w:val="none"/>
          <w:lang w:val="en-US" w:eastAsia="zh-CN"/>
        </w:rPr>
        <w:t>3</w:t>
      </w:r>
      <w:r>
        <w:rPr>
          <w:rFonts w:hint="eastAsia" w:ascii="宋体" w:hAnsi="宋体" w:eastAsia="宋体" w:cs="宋体"/>
          <w:highlight w:val="none"/>
        </w:rPr>
        <w:t xml:space="preserve">.1 </w:t>
      </w:r>
      <w:r>
        <w:rPr>
          <w:rFonts w:hint="eastAsia" w:ascii="宋体" w:hAnsi="宋体" w:eastAsia="宋体" w:cs="宋体"/>
          <w:highlight w:val="none"/>
          <w:lang w:val="en-US" w:eastAsia="zh-CN"/>
        </w:rPr>
        <w:t>主要技术变化</w:t>
      </w:r>
      <w:bookmarkEnd w:id="68"/>
      <w:bookmarkEnd w:id="69"/>
    </w:p>
    <w:p w14:paraId="77425CC2">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w:t>
      </w:r>
      <w:r>
        <w:rPr>
          <w:rFonts w:hint="eastAsia" w:ascii="宋体" w:hAnsi="宋体" w:eastAsia="宋体" w:cs="宋体"/>
          <w:highlight w:val="none"/>
          <w:lang w:eastAsia="zh-CN"/>
        </w:rPr>
        <w:t>）</w:t>
      </w:r>
      <w:r>
        <w:rPr>
          <w:rFonts w:hint="eastAsia" w:ascii="宋体" w:hAnsi="宋体" w:eastAsia="宋体" w:cs="宋体"/>
          <w:highlight w:val="none"/>
        </w:rPr>
        <w:t>本文件将原“工程概算定额”调整为“工程定额”；</w:t>
      </w:r>
    </w:p>
    <w:p w14:paraId="19429BEC">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w:t>
      </w:r>
      <w:r>
        <w:rPr>
          <w:rFonts w:hint="eastAsia" w:ascii="宋体" w:hAnsi="宋体" w:eastAsia="宋体" w:cs="宋体"/>
          <w:highlight w:val="none"/>
          <w:lang w:eastAsia="zh-CN"/>
        </w:rPr>
        <w:t>）</w:t>
      </w:r>
      <w:r>
        <w:rPr>
          <w:rFonts w:hint="eastAsia" w:ascii="宋体" w:hAnsi="宋体" w:eastAsia="宋体" w:cs="宋体"/>
          <w:highlight w:val="none"/>
        </w:rPr>
        <w:t>本文件适用范围修改为“适用于新建陆上光伏、水面光伏、分布式光伏电站设计概算、施工图预算”；</w:t>
      </w:r>
    </w:p>
    <w:p w14:paraId="658F38CD">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3</w:t>
      </w:r>
      <w:r>
        <w:rPr>
          <w:rFonts w:hint="eastAsia" w:ascii="宋体" w:hAnsi="宋体" w:eastAsia="宋体" w:cs="宋体"/>
          <w:highlight w:val="none"/>
          <w:lang w:eastAsia="zh-CN"/>
        </w:rPr>
        <w:t>）</w:t>
      </w:r>
      <w:r>
        <w:rPr>
          <w:rFonts w:hint="eastAsia" w:ascii="宋体" w:hAnsi="宋体" w:eastAsia="宋体" w:cs="宋体"/>
          <w:highlight w:val="none"/>
        </w:rPr>
        <w:t>本文件增加了水面光伏、分布式光伏及储能相关内容；</w:t>
      </w:r>
    </w:p>
    <w:p w14:paraId="11B133E8">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4</w:t>
      </w:r>
      <w:r>
        <w:rPr>
          <w:rFonts w:hint="eastAsia" w:ascii="宋体" w:hAnsi="宋体" w:eastAsia="宋体" w:cs="宋体"/>
          <w:highlight w:val="none"/>
          <w:lang w:eastAsia="zh-CN"/>
        </w:rPr>
        <w:t>）</w:t>
      </w:r>
      <w:r>
        <w:rPr>
          <w:rFonts w:hint="eastAsia" w:ascii="宋体" w:hAnsi="宋体" w:eastAsia="宋体" w:cs="宋体"/>
          <w:highlight w:val="none"/>
        </w:rPr>
        <w:t>本文件定额人工等级修改为“高级技工、技工、普工”；定额中人工计量单位修改为工日，机械计量单位修改为台班；</w:t>
      </w:r>
    </w:p>
    <w:p w14:paraId="11B90A14">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5</w:t>
      </w:r>
      <w:r>
        <w:rPr>
          <w:rFonts w:hint="eastAsia" w:ascii="宋体" w:hAnsi="宋体" w:eastAsia="宋体" w:cs="宋体"/>
          <w:highlight w:val="none"/>
          <w:lang w:eastAsia="zh-CN"/>
        </w:rPr>
        <w:t>）</w:t>
      </w:r>
      <w:r>
        <w:rPr>
          <w:rFonts w:hint="eastAsia" w:ascii="宋体" w:hAnsi="宋体" w:eastAsia="宋体" w:cs="宋体"/>
          <w:highlight w:val="none"/>
        </w:rPr>
        <w:t>本文件建筑工程及设备安装工程定额表现形式修改为基价形式；</w:t>
      </w:r>
    </w:p>
    <w:p w14:paraId="038654DE">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6</w:t>
      </w:r>
      <w:r>
        <w:rPr>
          <w:rFonts w:hint="eastAsia" w:ascii="宋体" w:hAnsi="宋体" w:eastAsia="宋体" w:cs="宋体"/>
          <w:highlight w:val="none"/>
          <w:lang w:eastAsia="zh-CN"/>
        </w:rPr>
        <w:t>）</w:t>
      </w:r>
      <w:r>
        <w:rPr>
          <w:rFonts w:hint="eastAsia" w:ascii="宋体" w:hAnsi="宋体" w:eastAsia="宋体" w:cs="宋体"/>
          <w:highlight w:val="none"/>
        </w:rPr>
        <w:t>本文件建筑工程定额从8章调整为10章，定额子目数量由368个调整为706个；</w:t>
      </w:r>
    </w:p>
    <w:p w14:paraId="0BAC5FBB">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7</w:t>
      </w:r>
      <w:r>
        <w:rPr>
          <w:rFonts w:hint="eastAsia" w:ascii="宋体" w:hAnsi="宋体" w:eastAsia="宋体" w:cs="宋体"/>
          <w:highlight w:val="none"/>
          <w:lang w:eastAsia="zh-CN"/>
        </w:rPr>
        <w:t>）</w:t>
      </w:r>
      <w:r>
        <w:rPr>
          <w:rFonts w:hint="eastAsia" w:ascii="宋体" w:hAnsi="宋体" w:eastAsia="宋体" w:cs="宋体"/>
          <w:highlight w:val="none"/>
        </w:rPr>
        <w:t xml:space="preserve">“6.1土方工程”、“6.2石方工程”修改合并为“5.1土石方工程”，共94个定额子目，其中新增“清表、挖孔基础土方、挖淤泥（流沙）、挖孔基础石方、铺砂盖砖、铺砂盖板、顶管、水平导向钻进”定额子目共42个；“一般石方开挖”新增“液压破碎锤开挖普坚石、钻孔爆破普坚石”定额子目2个；“沟槽石方开挖”新增“机械破碎松石、机械破碎次坚石、机械破碎普坚石、钻孔爆破普坚石”定额子目5个；“基坑石方开挖”新增“机械破碎松石、机械破碎次坚石、机械破碎普坚石、钻孔爆破普坚石”定额子目5个；修改定额子目40个，删除定额子目156个（见5.1，2016年版的6.1和6.2中的表55～表67）； </w:t>
      </w:r>
    </w:p>
    <w:p w14:paraId="44B0EB2E">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8</w:t>
      </w:r>
      <w:r>
        <w:rPr>
          <w:rFonts w:hint="eastAsia" w:ascii="宋体" w:hAnsi="宋体" w:eastAsia="宋体" w:cs="宋体"/>
          <w:highlight w:val="none"/>
          <w:lang w:eastAsia="zh-CN"/>
        </w:rPr>
        <w:t>）</w:t>
      </w:r>
      <w:r>
        <w:rPr>
          <w:rFonts w:hint="eastAsia" w:ascii="宋体" w:hAnsi="宋体" w:eastAsia="宋体" w:cs="宋体"/>
          <w:highlight w:val="none"/>
        </w:rPr>
        <w:t>“6.3地基处理工程”修改为“5.2地基处理工程”，共96个定额子目，其中新增“型钢桩、钢管桩、挤密桩、基础灌浆钻孔、基础固结灌浆、换填、强夯、压密注浆、两栖挖掘机水上打预制钢筋混凝土桩、打桩船水上打预制钢筋混凝土桩”定额子目共56个；修改定额子目40个，删除定额子目14个（见5.2，2016年版的6.3中的表68～表73）；</w:t>
      </w:r>
    </w:p>
    <w:p w14:paraId="6ABB2422">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9</w:t>
      </w:r>
      <w:r>
        <w:rPr>
          <w:rFonts w:hint="eastAsia" w:ascii="宋体" w:hAnsi="宋体" w:eastAsia="宋体" w:cs="宋体"/>
          <w:highlight w:val="none"/>
          <w:lang w:eastAsia="zh-CN"/>
        </w:rPr>
        <w:t>）</w:t>
      </w:r>
      <w:r>
        <w:rPr>
          <w:rFonts w:hint="eastAsia" w:ascii="宋体" w:hAnsi="宋体" w:eastAsia="宋体" w:cs="宋体"/>
          <w:highlight w:val="none"/>
        </w:rPr>
        <w:t>“6.6砌筑工程”修改为“5.3砌筑工程”，共37个定额子目，新增定额子目27个，包括干砌混凝土预制块砌筑、砌体内墙、砌体外墙、砌体防火墙、设备基础砌体、室外砌体沟道、室内砌体沟道、零星砌体、石笼，修改定额子目10个（见2016年版的表81、表82、表84），删除定额子目3个（见2016年版的表83）；</w:t>
      </w:r>
    </w:p>
    <w:p w14:paraId="7C8C876D">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10</w:t>
      </w:r>
      <w:r>
        <w:rPr>
          <w:rFonts w:hint="eastAsia" w:ascii="宋体" w:hAnsi="宋体" w:eastAsia="宋体" w:cs="宋体"/>
          <w:highlight w:val="none"/>
          <w:lang w:eastAsia="zh-CN"/>
        </w:rPr>
        <w:t>）</w:t>
      </w:r>
      <w:r>
        <w:rPr>
          <w:rFonts w:hint="eastAsia" w:ascii="宋体" w:hAnsi="宋体" w:eastAsia="宋体" w:cs="宋体"/>
          <w:highlight w:val="none"/>
        </w:rPr>
        <w:t>“6.4混凝土工程”、“6.5钢筋工程”修改合并为“5.4混凝土与钢筋工程”，共70个定额子目。其中新增定额子目41个，包括“基础混凝土”新增定额子目6个，“油池混凝土”新增定额子目1个，“挖孔基础混凝土”新增定额子目1个，“混凝土框架梁”新增定额子目3个，“混凝土板”新增定额子目1个，“混凝土柱”新增定额子目1个，“混凝土墙”新增定额子目2个，“圈梁”新增定额子目1个，“过梁”新增定额子目1个，“混凝土楼梯”新增定额子目1个，“混凝土沟道”新增定额子目1个，“电缆沟盖板”新增定额子目2个，“坡道”新增定额子目2个，“散水”新增定额子目2个，“压顶”新增定额子目1个，“地坑”新增定额子目1个，“钢筋网片”新增定额子目1个，“地脚螺栓”新增定额子目1个，“铁件”新增定额子目1个，“底盘”新增定额子目3个，“套筒”新增定额子目2个，“卡盘”新增定额子目2个，“拉线盘”新增定额子目3个，“商品混凝土人力运输”新增定额子目1个，修改定额子目29个，删除定额子目7个（见2016年版的表74、表75、表76、表77、表78、表79、表80）；</w:t>
      </w:r>
    </w:p>
    <w:p w14:paraId="39F2BCAD">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11</w:t>
      </w:r>
      <w:r>
        <w:rPr>
          <w:rFonts w:hint="eastAsia" w:ascii="宋体" w:hAnsi="宋体" w:eastAsia="宋体" w:cs="宋体"/>
          <w:highlight w:val="none"/>
          <w:lang w:eastAsia="zh-CN"/>
        </w:rPr>
        <w:t>）</w:t>
      </w:r>
      <w:r>
        <w:rPr>
          <w:rFonts w:hint="eastAsia" w:ascii="宋体" w:hAnsi="宋体" w:eastAsia="宋体" w:cs="宋体"/>
          <w:highlight w:val="none"/>
        </w:rPr>
        <w:t>“5.10钢结构制作与安装”修改为“5.5金属结构工程”，共35个定额子目，新增定额子目20个，包括新增“钢柱”定额子目2个，新增“钢梁”定额子目2个，新增“其他钢构件”定额子目3个，新增“钢屋架”定额子目3个，“金属制品”新增定额子目3个，新增“压型钢板屋面”定额子目2个，新增“金属墙板”定额子目3个，“避雷针塔”新增定额子目2个，修改定额子目15个（见2016年版的表51、表93、表94），删除定额子目6个（见2016年版的表50、表51的、表94）；</w:t>
      </w:r>
    </w:p>
    <w:p w14:paraId="31182F4D">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12</w:t>
      </w:r>
      <w:r>
        <w:rPr>
          <w:rFonts w:hint="eastAsia" w:ascii="宋体" w:hAnsi="宋体" w:eastAsia="宋体" w:cs="宋体"/>
          <w:highlight w:val="none"/>
          <w:lang w:eastAsia="zh-CN"/>
        </w:rPr>
        <w:t>）</w:t>
      </w:r>
      <w:r>
        <w:rPr>
          <w:rFonts w:hint="eastAsia" w:ascii="宋体" w:hAnsi="宋体" w:eastAsia="宋体" w:cs="宋体"/>
          <w:highlight w:val="none"/>
        </w:rPr>
        <w:t>新增“5.6室内外装饰工程”，共224个定额子目，均为新增定额子目，包括“隔（断）墙”新增定额子目13个，“地面垫层”新增定额子目9个，“地面/楼面整体面层”新增定额子目13个，“地面/楼面块料面层”新增定额子目2个，“地面/楼面地板”新增定额子目7个，“楼梯整体面层”新增定额子目2个，“楼梯块料面层”新增定额子目2个，“防滑条”新增定额子目2个，“防潮、防水”新增定额子目14个，“伸缩缝”新增定额子目6个，“墙面保温”新增定额子目5个，“墙面抹灰”新增定额子目12个，“外墙面装饰”新增定额子目10个，“内墙面装饰”新增定额子目11个，“梁柱面装饰”新增定额子目10个，“石材墙面”新增定额子目10个，“墙面零星项目装饰”新增定额子目11个，“界面处理”新增定额子目2个，“装饰台面”新增定额子目8个，“玻璃幕墙”新增定额子目1个，“天棚装饰”新增定额子目7个，“天棚吊顶”新增定额子目11个，“屋面排水”新增定额子目5个，“屋面保温”新增定额子目5个，“屋面细石混凝土刚性防水”新增定额子目2个，“瓦屋面”新增定额子目5个，“栏杆”新增定额子目7个，“门”新增定额子目18个，“窗”新增定额子目9个，“窗帘盒、门窗套”新增定额子目3个，“雨蓬”新增定额子目2个；</w:t>
      </w:r>
    </w:p>
    <w:p w14:paraId="1D6C147A">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13</w:t>
      </w:r>
      <w:r>
        <w:rPr>
          <w:rFonts w:hint="eastAsia" w:ascii="宋体" w:hAnsi="宋体" w:eastAsia="宋体" w:cs="宋体"/>
          <w:highlight w:val="none"/>
          <w:lang w:eastAsia="zh-CN"/>
        </w:rPr>
        <w:t>）</w:t>
      </w:r>
      <w:r>
        <w:rPr>
          <w:rFonts w:hint="eastAsia" w:ascii="宋体" w:hAnsi="宋体" w:eastAsia="宋体" w:cs="宋体"/>
          <w:highlight w:val="none"/>
        </w:rPr>
        <w:t>新增“5.7室内给排水、采暖、通风、照明及消防工程”，共37个定额子目，均为新增定额子目，包括给排水定额子目共9个，采暖定额子目共9个，通风空调定额子目共9个，照明接地定额子目共9个，室外消防及给排水定额子目共1个；</w:t>
      </w:r>
    </w:p>
    <w:p w14:paraId="0C59C7BA">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14</w:t>
      </w:r>
      <w:r>
        <w:rPr>
          <w:rFonts w:hint="eastAsia" w:ascii="宋体" w:hAnsi="宋体" w:eastAsia="宋体" w:cs="宋体"/>
          <w:highlight w:val="none"/>
          <w:lang w:eastAsia="zh-CN"/>
        </w:rPr>
        <w:t>）</w:t>
      </w:r>
      <w:r>
        <w:rPr>
          <w:rFonts w:hint="eastAsia" w:ascii="宋体" w:hAnsi="宋体" w:eastAsia="宋体" w:cs="宋体"/>
          <w:highlight w:val="none"/>
        </w:rPr>
        <w:t>新增“5.8站区室外工程”，共77个定额子目，均为新增定额子目，包括新增“池内铺石”定额子目2个，新增“大门”定额子目4个，新增“块料地坪”定额子目3个，新增“碎石（卵石）地坪”定额子目2个，新增“室外生活给水管道、室外排水管道、消防管道”定额子目16个，新增“混凝土模块井”定额子目6个，新增“池”定额子目5个，新增“取水井”定额子目1个，新增“混凝土护坡、挡墙”定额子目3个，新增“锚杆、土钉支护”定额子目4个，新增“喷混凝土”定额子目2个，新增“栏栅”定额子目2个，新增“播种草籽”定额子目1个，新增“铺（植）草皮”定额子目1个，新增“乔木种植”定额子目7个，新增“灌木种植”定额子目5个，新增“管道防腐保温”定额子目13个；</w:t>
      </w:r>
    </w:p>
    <w:p w14:paraId="4C1138EE">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15</w:t>
      </w:r>
      <w:r>
        <w:rPr>
          <w:rFonts w:hint="eastAsia" w:ascii="宋体" w:hAnsi="宋体" w:eastAsia="宋体" w:cs="宋体"/>
          <w:highlight w:val="none"/>
          <w:lang w:eastAsia="zh-CN"/>
        </w:rPr>
        <w:t>）</w:t>
      </w:r>
      <w:r>
        <w:rPr>
          <w:rFonts w:hint="eastAsia" w:ascii="宋体" w:hAnsi="宋体" w:eastAsia="宋体" w:cs="宋体"/>
          <w:highlight w:val="none"/>
        </w:rPr>
        <w:t>“6.7道路工程”修改为“5.9道路工程”，共24个定额子目；其中新增“垫层、培土路肩、路牙（缘）石、钢筋混凝土圆管涵、现浇混凝土箱涵”定额子目共16个；“基层”中新增“水泥稳定土基层、水泥稳定碎石基层”定额子目2个；修改定额子目6个，删除定额子目18个（见5.9，2016年版的6.7中的表85和表86）；</w:t>
      </w:r>
    </w:p>
    <w:p w14:paraId="264A73D6">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16</w:t>
      </w:r>
      <w:r>
        <w:rPr>
          <w:rFonts w:hint="eastAsia" w:ascii="宋体" w:hAnsi="宋体" w:eastAsia="宋体" w:cs="宋体"/>
          <w:highlight w:val="none"/>
          <w:lang w:eastAsia="zh-CN"/>
        </w:rPr>
        <w:t>）</w:t>
      </w:r>
      <w:r>
        <w:rPr>
          <w:rFonts w:hint="eastAsia" w:ascii="宋体" w:hAnsi="宋体" w:eastAsia="宋体" w:cs="宋体"/>
          <w:highlight w:val="none"/>
        </w:rPr>
        <w:t>新增“5.10措施工程”，共12个定额子目，均为新增定额子目，包括基坑排水新增定额子目5个、脚手架新增定额子目7个；</w:t>
      </w:r>
    </w:p>
    <w:p w14:paraId="551F990D">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17</w:t>
      </w:r>
      <w:r>
        <w:rPr>
          <w:rFonts w:hint="eastAsia" w:ascii="宋体" w:hAnsi="宋体" w:eastAsia="宋体" w:cs="宋体"/>
          <w:highlight w:val="none"/>
          <w:lang w:eastAsia="zh-CN"/>
        </w:rPr>
        <w:t>）</w:t>
      </w:r>
      <w:r>
        <w:rPr>
          <w:rFonts w:hint="eastAsia" w:ascii="宋体" w:hAnsi="宋体" w:eastAsia="宋体" w:cs="宋体"/>
          <w:highlight w:val="none"/>
        </w:rPr>
        <w:t>本文件设备安装工程定额从11章调整为7章，定额子目数量由462个调整为650个；</w:t>
      </w:r>
    </w:p>
    <w:p w14:paraId="5F1DAA77">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18</w:t>
      </w:r>
      <w:r>
        <w:rPr>
          <w:rFonts w:hint="eastAsia" w:ascii="宋体" w:hAnsi="宋体" w:eastAsia="宋体" w:cs="宋体"/>
          <w:highlight w:val="none"/>
          <w:lang w:eastAsia="zh-CN"/>
        </w:rPr>
        <w:t>）</w:t>
      </w:r>
      <w:r>
        <w:rPr>
          <w:rFonts w:hint="eastAsia" w:ascii="宋体" w:hAnsi="宋体" w:eastAsia="宋体" w:cs="宋体"/>
          <w:highlight w:val="none"/>
        </w:rPr>
        <w:t>“5.1光伏组件及支架安装”修改为“6.1发电场设备安装工程”，内容包括2016年版的“5.1光伏组件及支架安装”全部内容，“5.2变压器安装”及“5.3配电装置设备安装”的部分内容，共110个定额子目。新增定额子目96个，包括“地面组件（固定式支架）”新增定额子目9个，新增“地面组件（柔性支架）”定额子目6个，“地面组件（单轴跟踪支架）”新增定额子目3个，“地面组件及支架（双轴跟踪支架）”新增定额子目3个，“屋面组件”新增定额子目8个，新增“水面组件”定额子目4个，“地面固定支架”新增定额子目2个，新增“地面柔性支架”定额子目2个，“屋面固定支架”新增定额子目3个，新增“水面支架”定额子目2个，“地面箱式变压器”新增定额子目4个，新增“地面箱逆变一体机”定额子目6个，新增“水面箱式变压器”定额子目3个，新增“水面箱逆变一体机”定额子目3个，新增“水面箱变平台运输及施工”定额子目2个，“地面集中式逆变器”新增定额子目2个，“地面组串式逆变器”新增定额子目3个，新增“水面组串式逆变器”定额子目2个，“地面汇流箱”新增定额子目3个，新增“水面汇流箱”定额子目4个，新增“光伏区监控系统”定额子目1个，“BIPV系统”新增定额子目3个，新增“无人机运输光伏组件”定额子目1个，新增“无人机运输光伏支架”定额子目1个，新增“单轨运输车运输光伏组件”定额子目3个，新增“单轨运输车运输光伏支架”定额子目3个，新增“水面钢栈桥”定额子目1个，新增“屋面光伏设备材料运输”定额子目9个；修改定额子目14个（见2016年版的表2、表3、表4、表5、表10和表11）；删除定额子目24个（见2016年版的表1、表2、表3、表4、表5、表10和表11）；</w:t>
      </w:r>
    </w:p>
    <w:p w14:paraId="4AE9D8A9">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19</w:t>
      </w:r>
      <w:r>
        <w:rPr>
          <w:rFonts w:hint="eastAsia" w:ascii="宋体" w:hAnsi="宋体" w:eastAsia="宋体" w:cs="宋体"/>
          <w:highlight w:val="none"/>
          <w:lang w:eastAsia="zh-CN"/>
        </w:rPr>
        <w:t>）</w:t>
      </w:r>
      <w:r>
        <w:rPr>
          <w:rFonts w:hint="eastAsia" w:ascii="宋体" w:hAnsi="宋体" w:eastAsia="宋体" w:cs="宋体"/>
          <w:highlight w:val="none"/>
        </w:rPr>
        <w:t>“5.2 变压器安装”、“5.3 配电装置设备安装”、“5.6 控制设备安装”、“5.8通信设备安装”修改合并为“6.2升压站设备安装工程”，共121个定额子目，其中：新增110kV三相双绕组100000kvA以下、110kV三相双绕组150000kvA以下、110kV三相双绕组200000kvA以下、多组分油中溶解气体在线监测装置、变压器局部放电监测装置、变压器铁芯接地电流监测装置、断路器/GIS局部放电监测装置、组合电器110kV（不带断路器）、组合电器220kV（不带断路器）、组合电器330kV（不带断路器）、10kV SF6断路器柜、35kV SF6断路器柜、10kV动态无功补偿装置 、35kV 动态无功补偿装置 30Mvar 、35kV接地变及接地电阻柜、不间断电源系统屏柜60kVA以内、配电箱、固定柴油发电机组、控制屏柜、预制舱体、SF6监测装置等定额子目36个，修改定额子目85个，删除定额子目71个（见6.2，2016年版的5.2中的表6～表8、2016年版的5.3的表13、表16、表19、表20、2016年版的5.6的表36）；</w:t>
      </w:r>
    </w:p>
    <w:p w14:paraId="43DBBC2C">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20</w:t>
      </w:r>
      <w:r>
        <w:rPr>
          <w:rFonts w:hint="eastAsia" w:ascii="宋体" w:hAnsi="宋体" w:eastAsia="宋体" w:cs="宋体"/>
          <w:highlight w:val="none"/>
          <w:lang w:eastAsia="zh-CN"/>
        </w:rPr>
        <w:t>）</w:t>
      </w:r>
      <w:r>
        <w:rPr>
          <w:rFonts w:hint="eastAsia" w:ascii="宋体" w:hAnsi="宋体" w:eastAsia="宋体" w:cs="宋体"/>
          <w:highlight w:val="none"/>
        </w:rPr>
        <w:t>“5.4母线、电缆安装”修改为“6.3电缆及母线安装工程”，共112个定额子目，其中：新增1/3kV 电缆敷设、110kV 电缆敷设、220kV 电缆敷设、110kV电缆终端头、220kV电缆终端头、电缆中间接头、电缆在线监测、35kV软母线、GIS主母线、GIS进出线套管、电缆桥架安装铝合金、电缆防火安装防火带、地面电缆其他线缆以及水上光伏电缆及母线安装工程等定额子目75个，修改定额子目37个，删除定额子目16个（见6.3，2016年版的表24、表27、表29、表31）；</w:t>
      </w:r>
    </w:p>
    <w:p w14:paraId="73CE1BF2">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21</w:t>
      </w:r>
      <w:r>
        <w:rPr>
          <w:rFonts w:hint="eastAsia" w:ascii="宋体" w:hAnsi="宋体" w:eastAsia="宋体" w:cs="宋体"/>
          <w:highlight w:val="none"/>
          <w:lang w:eastAsia="zh-CN"/>
        </w:rPr>
        <w:t>）</w:t>
      </w:r>
      <w:r>
        <w:rPr>
          <w:rFonts w:hint="eastAsia" w:ascii="宋体" w:hAnsi="宋体" w:eastAsia="宋体" w:cs="宋体"/>
          <w:highlight w:val="none"/>
        </w:rPr>
        <w:t>“5.7架空线路”修改为“6.4架空线路安装工程”，共145个定额子目，新增定额子目92个，包括混凝土杆组立、钢管杆组立、铁塔组立、拉线制作与安装、标志牌安装、避雷线架设、导线架设、光缆架设、悬垂绝缘子、金具串安装、耐张绝缘子、金具串安装、横担、绝缘子、跳线制作及安装、防震锤、间隔棒、重锤、阻尼线、阻冰环、防鸟刺、驱鸟器、在线监测仪器、OPGW接续与测量、工地运输，修改定额子目53个（见2016年版的表40中预制基础混凝土杆组立、表41铁塔组立、表42钢芯铝绞线架设、表43线路架设材料运输），删除定额子目15个（见2016年版的表40中现浇基础混凝土杆组立、表43中拖拉机运输）；</w:t>
      </w:r>
    </w:p>
    <w:p w14:paraId="10F4C1FC">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22</w:t>
      </w:r>
      <w:r>
        <w:rPr>
          <w:rFonts w:hint="eastAsia" w:ascii="宋体" w:hAnsi="宋体" w:eastAsia="宋体" w:cs="宋体"/>
          <w:highlight w:val="none"/>
          <w:lang w:eastAsia="zh-CN"/>
        </w:rPr>
        <w:t>）</w:t>
      </w:r>
      <w:r>
        <w:rPr>
          <w:rFonts w:hint="eastAsia" w:ascii="宋体" w:hAnsi="宋体" w:eastAsia="宋体" w:cs="宋体"/>
          <w:highlight w:val="none"/>
        </w:rPr>
        <w:t>“5.5接地安装”修改为“6.5接地安装工程”，共43个定额子目，新增定额子目40个，包括新增“地面光伏接地箱、柜”定额子目2个，“地面光伏接地极”新增定额子目3个，新增“地面光伏接地母线”定额子目18个，新增“水面光伏接地导线”定额子目4个，新增“水面光伏接地极”定额子目4个，新增“水面光伏接地母线”定额子目9个，修改定额子目3个（见2016年版的表35），删除定额子目5个（见2016年版的表32、表33、表34）；</w:t>
      </w:r>
    </w:p>
    <w:p w14:paraId="2F892609">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23</w:t>
      </w:r>
      <w:r>
        <w:rPr>
          <w:rFonts w:hint="eastAsia" w:ascii="宋体" w:hAnsi="宋体" w:eastAsia="宋体" w:cs="宋体"/>
          <w:highlight w:val="none"/>
          <w:lang w:eastAsia="zh-CN"/>
        </w:rPr>
        <w:t>）</w:t>
      </w:r>
      <w:r>
        <w:rPr>
          <w:rFonts w:hint="eastAsia" w:ascii="宋体" w:hAnsi="宋体" w:eastAsia="宋体" w:cs="宋体"/>
          <w:highlight w:val="none"/>
        </w:rPr>
        <w:t>新增“6.6站区照明安装工程”，共6个定额子目，均为新增定额子目，包括新增“一般路灯安装”定额子目3个，新增“庭院灯”定额子目3个；</w:t>
      </w:r>
    </w:p>
    <w:p w14:paraId="3DBB1579">
      <w:pPr>
        <w:ind w:firstLine="48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24</w:t>
      </w:r>
      <w:r>
        <w:rPr>
          <w:rFonts w:hint="eastAsia" w:ascii="宋体" w:hAnsi="宋体" w:eastAsia="宋体" w:cs="宋体"/>
          <w:highlight w:val="none"/>
          <w:lang w:eastAsia="zh-CN"/>
        </w:rPr>
        <w:t>）</w:t>
      </w:r>
      <w:r>
        <w:rPr>
          <w:rFonts w:hint="eastAsia" w:ascii="宋体" w:hAnsi="宋体" w:eastAsia="宋体" w:cs="宋体"/>
          <w:highlight w:val="none"/>
        </w:rPr>
        <w:t>取消“5.9通风设备安装”；</w:t>
      </w:r>
    </w:p>
    <w:p w14:paraId="3BC11659">
      <w:pPr>
        <w:ind w:firstLine="480"/>
        <w:rPr>
          <w:rFonts w:hint="eastAsia" w:ascii="宋体" w:hAnsi="宋体" w:eastAsia="宋体" w:cs="宋体"/>
          <w:highlight w:val="none"/>
          <w:lang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25</w:t>
      </w:r>
      <w:r>
        <w:rPr>
          <w:rFonts w:hint="eastAsia" w:ascii="宋体" w:hAnsi="宋体" w:eastAsia="宋体" w:cs="宋体"/>
          <w:highlight w:val="none"/>
          <w:lang w:eastAsia="zh-CN"/>
        </w:rPr>
        <w:t>）</w:t>
      </w:r>
      <w:r>
        <w:rPr>
          <w:rFonts w:hint="eastAsia" w:ascii="宋体" w:hAnsi="宋体" w:eastAsia="宋体" w:cs="宋体"/>
          <w:highlight w:val="none"/>
        </w:rPr>
        <w:t>“5.11系统调试”修改为“6.7调试及试验工程”，包括发电场调试工程、分系统调试工程和特殊调试工程，共112个定额子目，新增发电子方阵系统调试、发电场电气整套启动调试、水上发电子方阵系统调试、水上发电场电气整套启动调试、变压器分系统调试、站用电系统调试、变压器绕组变形试验、GIS局部放电带电检测、保护故障信息系统调试、电网调度自动化系统调试、二次系统安全防护分系统调试、网络报文监视、信息一体化、远动系统调试、自动电压无功控制 (AVQC) 分系统调试、升压站同步系统调试、升压站PMU同步相量系统调试、绝缘油试验、接地测试、计量表校验、气体试验、互感器误差测试、输电线路试运及铁塔接地阻抗测试等定额子目66个，修改定额子目46个，删除定额子目22个（见6.7，2016年版表52、表53）</w:t>
      </w:r>
      <w:r>
        <w:rPr>
          <w:rFonts w:hint="eastAsia" w:ascii="宋体" w:hAnsi="宋体" w:eastAsia="宋体" w:cs="宋体"/>
          <w:highlight w:val="none"/>
          <w:lang w:eastAsia="zh-CN"/>
        </w:rPr>
        <w:t>。</w:t>
      </w:r>
    </w:p>
    <w:p w14:paraId="46C060A0">
      <w:pPr>
        <w:pStyle w:val="3"/>
        <w:ind w:firstLine="562"/>
        <w:rPr>
          <w:rFonts w:hint="default" w:ascii="宋体" w:hAnsi="宋体" w:eastAsia="宋体" w:cs="宋体"/>
          <w:highlight w:val="none"/>
          <w:lang w:val="en-US" w:eastAsia="zh-CN"/>
        </w:rPr>
      </w:pPr>
      <w:bookmarkStart w:id="70" w:name="_Toc24314"/>
      <w:bookmarkStart w:id="71" w:name="_Toc3460"/>
      <w:r>
        <w:rPr>
          <w:rFonts w:hint="eastAsia" w:ascii="宋体" w:hAnsi="宋体" w:eastAsia="宋体" w:cs="宋体"/>
          <w:highlight w:val="none"/>
          <w:lang w:val="en-US" w:eastAsia="zh-CN"/>
        </w:rPr>
        <w:t>3</w:t>
      </w:r>
      <w:r>
        <w:rPr>
          <w:rFonts w:hint="eastAsia" w:ascii="宋体" w:hAnsi="宋体" w:eastAsia="宋体" w:cs="宋体"/>
          <w:highlight w:val="none"/>
        </w:rPr>
        <w:t>.</w:t>
      </w:r>
      <w:r>
        <w:rPr>
          <w:rFonts w:hint="eastAsia" w:ascii="宋体" w:hAnsi="宋体" w:eastAsia="宋体" w:cs="宋体"/>
          <w:highlight w:val="none"/>
          <w:lang w:val="en-US" w:eastAsia="zh-CN"/>
        </w:rPr>
        <w:t>2</w:t>
      </w:r>
      <w:r>
        <w:rPr>
          <w:rFonts w:hint="eastAsia" w:ascii="宋体" w:hAnsi="宋体" w:eastAsia="宋体" w:cs="宋体"/>
          <w:highlight w:val="none"/>
        </w:rPr>
        <w:t xml:space="preserve"> </w:t>
      </w:r>
      <w:r>
        <w:rPr>
          <w:rFonts w:hint="eastAsia" w:ascii="宋体" w:hAnsi="宋体" w:eastAsia="宋体" w:cs="宋体"/>
          <w:highlight w:val="none"/>
          <w:lang w:val="en-US" w:eastAsia="zh-CN"/>
        </w:rPr>
        <w:t>修订理由</w:t>
      </w:r>
      <w:bookmarkEnd w:id="70"/>
      <w:bookmarkEnd w:id="71"/>
    </w:p>
    <w:p w14:paraId="0E5EF4C9">
      <w:pPr>
        <w:ind w:firstLine="480"/>
        <w:rPr>
          <w:rFonts w:hint="eastAsia" w:ascii="宋体" w:hAnsi="宋体" w:eastAsia="宋体" w:cs="宋体"/>
          <w:highlight w:val="none"/>
        </w:rPr>
      </w:pPr>
      <w:r>
        <w:rPr>
          <w:rFonts w:hint="eastAsia" w:ascii="宋体" w:hAnsi="宋体" w:eastAsia="宋体" w:cs="宋体"/>
          <w:highlight w:val="none"/>
        </w:rPr>
        <w:t>《光伏发电工程概算定额》自发布以来，历时近九年，在光伏建设项目前期规划与设计、项目决策报批以及项目建设实施阶段的投资管理工作中发挥了重要作用。随着光伏产业的发展和设备制造、大功率组件得以应用、装配技术的持续进步，施工工艺水平及效率进一步提高，与此同时，国家在提高劳动者收入、改善生产条件、加强安全生产等方面出台了新规定，光伏工程的建设过程中也呈现出一些新特点和新情况。</w:t>
      </w:r>
    </w:p>
    <w:p w14:paraId="4A7EDAEC">
      <w:pPr>
        <w:ind w:firstLine="480"/>
        <w:rPr>
          <w:rFonts w:hint="eastAsia" w:ascii="宋体" w:hAnsi="宋体" w:eastAsia="宋体" w:cs="宋体"/>
          <w:highlight w:val="none"/>
        </w:rPr>
      </w:pPr>
      <w:r>
        <w:rPr>
          <w:rFonts w:hint="eastAsia" w:ascii="宋体" w:hAnsi="宋体" w:eastAsia="宋体" w:cs="宋体"/>
          <w:highlight w:val="none"/>
        </w:rPr>
        <w:t>为适应国家政策要求和光伏发电工程建设管理的需要，更好地反映国家的现行政策，进一步加强和规范</w:t>
      </w:r>
      <w:r>
        <w:rPr>
          <w:rFonts w:hint="eastAsia" w:ascii="宋体" w:hAnsi="宋体" w:cs="宋体"/>
          <w:highlight w:val="none"/>
          <w:lang w:eastAsia="zh-CN"/>
        </w:rPr>
        <w:t>光伏发电工程概算定额</w:t>
      </w:r>
      <w:r>
        <w:rPr>
          <w:rFonts w:hint="eastAsia" w:ascii="宋体" w:hAnsi="宋体" w:eastAsia="宋体" w:cs="宋体"/>
          <w:highlight w:val="none"/>
        </w:rPr>
        <w:t>和造价管理工作，充分发挥标准定额在工程建设过程中的引导和约束作用，合理确定工程投资，维护工程参建各方的合法权益，促进光伏发电建设事业的健康发展。</w:t>
      </w:r>
    </w:p>
    <w:p w14:paraId="772A1D0C">
      <w:pPr>
        <w:pStyle w:val="2"/>
        <w:spacing w:before="0" w:after="0"/>
        <w:ind w:firstLine="562"/>
        <w:rPr>
          <w:rFonts w:hint="eastAsia" w:ascii="宋体" w:hAnsi="宋体" w:eastAsia="宋体" w:cs="宋体"/>
          <w:sz w:val="28"/>
          <w:szCs w:val="28"/>
          <w:highlight w:val="none"/>
        </w:rPr>
      </w:pPr>
      <w:bookmarkStart w:id="72" w:name="_Toc24624"/>
      <w:r>
        <w:rPr>
          <w:rFonts w:hint="eastAsia" w:ascii="宋体" w:hAnsi="宋体" w:eastAsia="宋体" w:cs="宋体"/>
          <w:sz w:val="28"/>
          <w:szCs w:val="28"/>
          <w:highlight w:val="none"/>
        </w:rPr>
        <w:t>四、关键技术问题、主要试验验证情况和预期达到的效果</w:t>
      </w:r>
      <w:bookmarkEnd w:id="72"/>
    </w:p>
    <w:p w14:paraId="00E3BA84">
      <w:pPr>
        <w:ind w:firstLine="480"/>
        <w:rPr>
          <w:rFonts w:hint="eastAsia" w:ascii="宋体" w:hAnsi="宋体" w:eastAsia="宋体" w:cs="宋体"/>
          <w:highlight w:val="none"/>
        </w:rPr>
      </w:pPr>
      <w:r>
        <w:rPr>
          <w:rFonts w:hint="eastAsia" w:ascii="宋体" w:hAnsi="宋体" w:eastAsia="宋体" w:cs="宋体"/>
          <w:highlight w:val="none"/>
        </w:rPr>
        <w:t>《</w:t>
      </w:r>
      <w:r>
        <w:rPr>
          <w:rFonts w:hint="eastAsia" w:ascii="宋体" w:hAnsi="宋体" w:cs="宋体"/>
          <w:highlight w:val="none"/>
          <w:lang w:eastAsia="zh-CN"/>
        </w:rPr>
        <w:t>光伏发电工程概算定额</w:t>
      </w:r>
      <w:r>
        <w:rPr>
          <w:rFonts w:hint="eastAsia" w:ascii="宋体" w:hAnsi="宋体" w:eastAsia="宋体" w:cs="宋体"/>
          <w:highlight w:val="none"/>
        </w:rPr>
        <w:t>》作为光伏发电工程投资编制的基础和依据，在规范和合理确定光伏发电工程投资、维护光伏项目建设市场经济秩序、提高投资效益等方面将发挥重要作用。</w:t>
      </w:r>
    </w:p>
    <w:p w14:paraId="3EAF3217">
      <w:pPr>
        <w:pStyle w:val="2"/>
        <w:spacing w:before="0" w:after="0"/>
        <w:ind w:firstLine="562"/>
        <w:rPr>
          <w:rFonts w:hint="eastAsia" w:ascii="宋体" w:hAnsi="宋体" w:eastAsia="宋体" w:cs="宋体"/>
          <w:sz w:val="28"/>
          <w:szCs w:val="28"/>
          <w:highlight w:val="none"/>
        </w:rPr>
      </w:pPr>
      <w:bookmarkStart w:id="73" w:name="_Toc19653"/>
      <w:bookmarkStart w:id="74" w:name="_Toc11470"/>
      <w:r>
        <w:rPr>
          <w:rFonts w:hint="eastAsia" w:ascii="宋体" w:hAnsi="宋体" w:eastAsia="宋体" w:cs="宋体"/>
          <w:sz w:val="28"/>
          <w:szCs w:val="28"/>
          <w:highlight w:val="none"/>
        </w:rPr>
        <w:t>五、与国际、国外先进标准对比情况</w:t>
      </w:r>
      <w:bookmarkEnd w:id="73"/>
      <w:bookmarkEnd w:id="74"/>
    </w:p>
    <w:p w14:paraId="7EFC2D4D">
      <w:pPr>
        <w:ind w:firstLine="480"/>
        <w:rPr>
          <w:rFonts w:hint="eastAsia" w:ascii="宋体" w:hAnsi="宋体" w:eastAsia="宋体" w:cs="宋体"/>
          <w:highlight w:val="none"/>
        </w:rPr>
      </w:pPr>
      <w:r>
        <w:rPr>
          <w:rFonts w:hint="eastAsia" w:ascii="宋体" w:hAnsi="宋体" w:eastAsia="宋体" w:cs="宋体"/>
          <w:highlight w:val="none"/>
        </w:rPr>
        <w:t>暂无同类国际、国外标准。</w:t>
      </w:r>
    </w:p>
    <w:p w14:paraId="20C5EFB7">
      <w:pPr>
        <w:pStyle w:val="2"/>
        <w:spacing w:before="0" w:after="0"/>
        <w:ind w:firstLine="562"/>
        <w:rPr>
          <w:rFonts w:hint="eastAsia" w:ascii="宋体" w:hAnsi="宋体" w:eastAsia="宋体" w:cs="宋体"/>
          <w:sz w:val="28"/>
          <w:szCs w:val="28"/>
          <w:highlight w:val="none"/>
        </w:rPr>
      </w:pPr>
      <w:bookmarkStart w:id="75" w:name="_Toc29495"/>
      <w:bookmarkStart w:id="76" w:name="_Toc257"/>
      <w:r>
        <w:rPr>
          <w:rFonts w:hint="eastAsia" w:ascii="宋体" w:hAnsi="宋体" w:eastAsia="宋体" w:cs="宋体"/>
          <w:sz w:val="28"/>
          <w:szCs w:val="28"/>
          <w:highlight w:val="none"/>
        </w:rPr>
        <w:t>六、与现行法律、法规、政策及相关标准的协调性</w:t>
      </w:r>
      <w:bookmarkEnd w:id="75"/>
      <w:bookmarkEnd w:id="76"/>
    </w:p>
    <w:p w14:paraId="08382020">
      <w:pPr>
        <w:ind w:firstLine="480"/>
        <w:rPr>
          <w:rFonts w:hint="eastAsia" w:ascii="宋体" w:hAnsi="宋体" w:eastAsia="宋体" w:cs="宋体"/>
          <w:highlight w:val="none"/>
        </w:rPr>
      </w:pPr>
      <w:r>
        <w:rPr>
          <w:rFonts w:hint="eastAsia" w:ascii="宋体" w:hAnsi="宋体" w:eastAsia="宋体" w:cs="宋体"/>
          <w:highlight w:val="none"/>
        </w:rPr>
        <w:t>本系列标准内容符合国家现行法律、法规，与现行国标、行业标准的条文内容上保持表述一致。</w:t>
      </w:r>
    </w:p>
    <w:p w14:paraId="30D26FD4">
      <w:pPr>
        <w:pStyle w:val="2"/>
        <w:numPr>
          <w:ilvl w:val="0"/>
          <w:numId w:val="4"/>
        </w:numPr>
        <w:spacing w:before="0" w:after="0"/>
        <w:ind w:firstLine="562"/>
        <w:rPr>
          <w:rFonts w:hint="eastAsia" w:ascii="宋体" w:hAnsi="宋体" w:eastAsia="宋体" w:cs="宋体"/>
          <w:sz w:val="28"/>
          <w:szCs w:val="28"/>
          <w:highlight w:val="none"/>
        </w:rPr>
      </w:pPr>
      <w:bookmarkStart w:id="77" w:name="_Toc23923"/>
      <w:bookmarkStart w:id="78" w:name="_Toc32370"/>
      <w:r>
        <w:rPr>
          <w:rFonts w:hint="eastAsia" w:ascii="宋体" w:hAnsi="宋体" w:eastAsia="宋体" w:cs="宋体"/>
          <w:sz w:val="28"/>
          <w:szCs w:val="28"/>
          <w:highlight w:val="none"/>
        </w:rPr>
        <w:t>重大分歧意见的处理经过和依据</w:t>
      </w:r>
      <w:bookmarkEnd w:id="77"/>
      <w:bookmarkEnd w:id="78"/>
    </w:p>
    <w:p w14:paraId="647F4303">
      <w:pPr>
        <w:ind w:firstLine="480"/>
        <w:rPr>
          <w:rFonts w:hint="eastAsia" w:ascii="宋体" w:hAnsi="宋体" w:eastAsia="宋体" w:cs="宋体"/>
          <w:highlight w:val="none"/>
        </w:rPr>
      </w:pPr>
      <w:r>
        <w:rPr>
          <w:rFonts w:hint="eastAsia" w:ascii="宋体" w:hAnsi="宋体" w:eastAsia="宋体" w:cs="宋体"/>
          <w:highlight w:val="none"/>
        </w:rPr>
        <w:t>本标准</w:t>
      </w:r>
      <w:r>
        <w:rPr>
          <w:rFonts w:hint="eastAsia" w:ascii="宋体" w:hAnsi="宋体" w:eastAsia="宋体" w:cs="宋体"/>
          <w:highlight w:val="none"/>
          <w:lang w:val="en-US" w:eastAsia="zh-CN"/>
        </w:rPr>
        <w:t>修订</w:t>
      </w:r>
      <w:r>
        <w:rPr>
          <w:rFonts w:hint="eastAsia" w:ascii="宋体" w:hAnsi="宋体" w:eastAsia="宋体" w:cs="宋体"/>
          <w:highlight w:val="none"/>
        </w:rPr>
        <w:t>过程中暂无重大分歧。</w:t>
      </w:r>
    </w:p>
    <w:p w14:paraId="396ACE5C">
      <w:pPr>
        <w:pStyle w:val="2"/>
        <w:spacing w:before="0" w:after="0"/>
        <w:ind w:firstLine="562"/>
        <w:rPr>
          <w:rFonts w:hint="eastAsia" w:ascii="宋体" w:hAnsi="宋体" w:eastAsia="宋体" w:cs="宋体"/>
          <w:sz w:val="28"/>
          <w:szCs w:val="28"/>
          <w:highlight w:val="none"/>
        </w:rPr>
      </w:pPr>
      <w:bookmarkStart w:id="79" w:name="_Toc24430"/>
      <w:bookmarkStart w:id="80" w:name="_Toc22764"/>
      <w:r>
        <w:rPr>
          <w:rFonts w:hint="eastAsia" w:ascii="宋体" w:hAnsi="宋体" w:eastAsia="宋体" w:cs="宋体"/>
          <w:sz w:val="28"/>
          <w:szCs w:val="28"/>
          <w:highlight w:val="none"/>
        </w:rPr>
        <w:t>九、贯彻标准的要求和措施建议</w:t>
      </w:r>
      <w:bookmarkEnd w:id="79"/>
      <w:bookmarkEnd w:id="80"/>
    </w:p>
    <w:p w14:paraId="11382161">
      <w:pPr>
        <w:ind w:firstLine="480"/>
        <w:rPr>
          <w:rFonts w:hint="eastAsia" w:ascii="宋体" w:hAnsi="宋体" w:eastAsia="宋体" w:cs="宋体"/>
          <w:highlight w:val="none"/>
        </w:rPr>
      </w:pPr>
      <w:r>
        <w:rPr>
          <w:rFonts w:hint="eastAsia" w:ascii="宋体" w:hAnsi="宋体" w:eastAsia="宋体" w:cs="宋体"/>
          <w:highlight w:val="none"/>
        </w:rPr>
        <w:t>本标准为推荐性行业标准。</w:t>
      </w:r>
    </w:p>
    <w:p w14:paraId="25A06401">
      <w:pPr>
        <w:pStyle w:val="2"/>
        <w:spacing w:before="0" w:after="0"/>
        <w:ind w:firstLine="562"/>
        <w:rPr>
          <w:rFonts w:hint="eastAsia" w:ascii="宋体" w:hAnsi="宋体" w:eastAsia="宋体" w:cs="宋体"/>
          <w:sz w:val="28"/>
          <w:szCs w:val="28"/>
          <w:highlight w:val="none"/>
        </w:rPr>
      </w:pPr>
      <w:bookmarkStart w:id="81" w:name="_Toc5849"/>
      <w:bookmarkStart w:id="82" w:name="_Toc6718"/>
      <w:r>
        <w:rPr>
          <w:rFonts w:hint="eastAsia" w:ascii="宋体" w:hAnsi="宋体" w:eastAsia="宋体" w:cs="宋体"/>
          <w:sz w:val="28"/>
          <w:szCs w:val="28"/>
          <w:highlight w:val="none"/>
        </w:rPr>
        <w:t>十、其他应予说明的事项</w:t>
      </w:r>
      <w:bookmarkEnd w:id="81"/>
      <w:bookmarkEnd w:id="82"/>
    </w:p>
    <w:p w14:paraId="039823F0">
      <w:pPr>
        <w:ind w:firstLine="480"/>
        <w:rPr>
          <w:rFonts w:hint="eastAsia" w:ascii="宋体" w:hAnsi="宋体" w:eastAsia="宋体" w:cs="宋体"/>
          <w:highlight w:val="none"/>
        </w:rPr>
      </w:pPr>
      <w:r>
        <w:rPr>
          <w:rFonts w:hint="eastAsia" w:ascii="宋体" w:hAnsi="宋体" w:eastAsia="宋体" w:cs="宋体"/>
          <w:highlight w:val="none"/>
        </w:rPr>
        <w:t>无其他说明。</w:t>
      </w:r>
    </w:p>
    <w:p w14:paraId="3A5FE029">
      <w:pPr>
        <w:pStyle w:val="2"/>
        <w:spacing w:before="0" w:after="0"/>
        <w:ind w:firstLine="562"/>
        <w:rPr>
          <w:rFonts w:hint="eastAsia" w:ascii="宋体" w:hAnsi="宋体" w:eastAsia="宋体" w:cs="宋体"/>
          <w:sz w:val="28"/>
          <w:szCs w:val="28"/>
          <w:highlight w:val="none"/>
          <w:lang w:val="en-US" w:eastAsia="zh-CN"/>
        </w:rPr>
      </w:pPr>
      <w:bookmarkStart w:id="83" w:name="_Toc21364"/>
      <w:r>
        <w:rPr>
          <w:rFonts w:hint="eastAsia" w:ascii="宋体" w:hAnsi="宋体" w:eastAsia="宋体" w:cs="宋体"/>
          <w:sz w:val="28"/>
          <w:szCs w:val="28"/>
          <w:highlight w:val="none"/>
          <w:lang w:val="en-US" w:eastAsia="zh-CN"/>
        </w:rPr>
        <w:t>附件1：国能综通科技〔2022〕96号</w:t>
      </w:r>
      <w:bookmarkEnd w:id="83"/>
    </w:p>
    <w:p w14:paraId="394480C2">
      <w:pPr>
        <w:ind w:firstLine="480"/>
        <w:rPr>
          <w:rFonts w:hint="eastAsia" w:ascii="宋体" w:hAnsi="宋体" w:eastAsia="宋体" w:cs="宋体"/>
          <w:highlight w:val="none"/>
          <w:lang w:val="en-US" w:eastAsia="zh-CN"/>
        </w:rPr>
      </w:pPr>
      <w:r>
        <w:drawing>
          <wp:inline distT="0" distB="0" distL="114300" distR="114300">
            <wp:extent cx="5498465" cy="7571740"/>
            <wp:effectExtent l="0" t="0" r="635" b="101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3"/>
                    <a:stretch>
                      <a:fillRect/>
                    </a:stretch>
                  </pic:blipFill>
                  <pic:spPr>
                    <a:xfrm>
                      <a:off x="0" y="0"/>
                      <a:ext cx="5498465" cy="7571740"/>
                    </a:xfrm>
                    <a:prstGeom prst="rect">
                      <a:avLst/>
                    </a:prstGeom>
                    <a:noFill/>
                    <a:ln>
                      <a:noFill/>
                    </a:ln>
                  </pic:spPr>
                </pic:pic>
              </a:graphicData>
            </a:graphic>
          </wp:inline>
        </w:drawing>
      </w:r>
    </w:p>
    <w:p w14:paraId="5C06C94F">
      <w:pPr>
        <w:ind w:firstLine="480"/>
        <w:rPr>
          <w:rFonts w:hint="eastAsia" w:ascii="宋体" w:hAnsi="宋体" w:eastAsia="宋体" w:cs="宋体"/>
          <w:highlight w:val="none"/>
        </w:rPr>
      </w:pPr>
      <w:r>
        <w:drawing>
          <wp:inline distT="0" distB="0" distL="114300" distR="114300">
            <wp:extent cx="5266690" cy="7235825"/>
            <wp:effectExtent l="0" t="0" r="381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4"/>
                    <a:stretch>
                      <a:fillRect/>
                    </a:stretch>
                  </pic:blipFill>
                  <pic:spPr>
                    <a:xfrm>
                      <a:off x="0" y="0"/>
                      <a:ext cx="5266690" cy="7235825"/>
                    </a:xfrm>
                    <a:prstGeom prst="rect">
                      <a:avLst/>
                    </a:prstGeom>
                    <a:noFill/>
                    <a:ln>
                      <a:noFill/>
                    </a:ln>
                  </pic:spPr>
                </pic:pic>
              </a:graphicData>
            </a:graphic>
          </wp:inline>
        </w:drawing>
      </w:r>
      <w:r>
        <w:drawing>
          <wp:inline distT="0" distB="0" distL="114300" distR="114300">
            <wp:extent cx="5758180" cy="2926715"/>
            <wp:effectExtent l="0" t="0" r="7620" b="6985"/>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5"/>
                    <a:stretch>
                      <a:fillRect/>
                    </a:stretch>
                  </pic:blipFill>
                  <pic:spPr>
                    <a:xfrm>
                      <a:off x="0" y="0"/>
                      <a:ext cx="5758180" cy="2926715"/>
                    </a:xfrm>
                    <a:prstGeom prst="rect">
                      <a:avLst/>
                    </a:prstGeom>
                    <a:noFill/>
                    <a:ln>
                      <a:noFill/>
                    </a:ln>
                  </pic:spPr>
                </pic:pic>
              </a:graphicData>
            </a:graphic>
          </wp:inline>
        </w:drawing>
      </w:r>
    </w:p>
    <w:p w14:paraId="1CA44F76">
      <w:pPr>
        <w:ind w:firstLine="480"/>
        <w:rPr>
          <w:rFonts w:hint="eastAsia" w:ascii="宋体" w:hAnsi="宋体" w:eastAsia="宋体" w:cs="宋体"/>
          <w:highlight w:val="none"/>
          <w:lang w:val="en-US" w:eastAsia="zh-CN"/>
        </w:rPr>
      </w:pPr>
    </w:p>
    <w:sectPr>
      <w:footerReference r:id="rId11" w:type="default"/>
      <w:type w:val="continuous"/>
      <w:pgSz w:w="11906" w:h="16838"/>
      <w:pgMar w:top="1418" w:right="1418" w:bottom="1418" w:left="1418" w:header="851" w:footer="964" w:gutter="0"/>
      <w:pgNumType w:start="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libri Light">
    <w:panose1 w:val="020F03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Arial Unicode MS">
    <w:altName w:val="Arial"/>
    <w:panose1 w:val="020B0604020202020204"/>
    <w:charset w:val="00"/>
    <w:family w:val="roman"/>
    <w:pitch w:val="default"/>
    <w:sig w:usb0="00000000" w:usb1="00000000" w:usb2="00000000" w:usb3="00000000" w:csb0="00000001" w:csb1="0000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5C6DCD">
    <w:pPr>
      <w:pStyle w:val="21"/>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7C72DF">
    <w:pPr>
      <w:pStyle w:val="21"/>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8D522">
    <w:pPr>
      <w:pStyle w:val="21"/>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ED2A91">
    <w:pPr>
      <w:pStyle w:val="21"/>
      <w:ind w:firstLine="420"/>
      <w:rPr>
        <w:sz w:val="21"/>
        <w:szCs w:val="21"/>
      </w:rPr>
    </w:pPr>
    <w:r>
      <w:rPr>
        <w:sz w:val="21"/>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5F0781D">
                          <w:pPr>
                            <w:pStyle w:val="21"/>
                            <w:ind w:firstLine="0" w:firstLineChars="0"/>
                          </w:pPr>
                          <w:r>
                            <w:fldChar w:fldCharType="begin"/>
                          </w:r>
                          <w:r>
                            <w:instrText xml:space="preserve"> PAGE  \* MERGEFORMAT </w:instrText>
                          </w:r>
                          <w:r>
                            <w:fldChar w:fldCharType="separate"/>
                          </w:r>
                          <w:r>
                            <w:t>11</w:t>
                          </w:r>
                          <w:r>
                            <w:fldChar w:fldCharType="end"/>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Bp2gcnIAQAAmQMAAA4AAAAAAAAAAQAgAAAAHgEAAGRycy9lMm9Eb2Mu&#10;eG1sUEsFBgAAAAAGAAYAWQEAAFgFAAAAAA==&#10;">
              <v:fill on="f" focussize="0,0"/>
              <v:stroke on="f"/>
              <v:imagedata o:title=""/>
              <o:lock v:ext="edit" aspectratio="f"/>
              <v:textbox inset="0mm,0mm,0mm,0mm" style="mso-fit-shape-to-text:t;">
                <w:txbxContent>
                  <w:p w14:paraId="05F0781D">
                    <w:pPr>
                      <w:pStyle w:val="21"/>
                      <w:ind w:firstLine="0" w:firstLineChars="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360" w:lineRule="auto"/>
        <w:ind w:firstLine="480"/>
      </w:pPr>
      <w:r>
        <w:separator/>
      </w:r>
    </w:p>
  </w:footnote>
  <w:footnote w:type="continuationSeparator" w:id="1">
    <w:p>
      <w:pPr>
        <w:spacing w:before="0" w:after="0"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A34E3">
    <w:pPr>
      <w:pStyle w:val="22"/>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756B1">
    <w:pPr>
      <w:pStyle w:val="22"/>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6621C5">
    <w:pPr>
      <w:pStyle w:val="22"/>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1DFAC9D"/>
    <w:multiLevelType w:val="singleLevel"/>
    <w:tmpl w:val="F1DFAC9D"/>
    <w:lvl w:ilvl="0" w:tentative="0">
      <w:start w:val="7"/>
      <w:numFmt w:val="chineseCounting"/>
      <w:suff w:val="nothing"/>
      <w:lvlText w:val="%1、"/>
      <w:lvlJc w:val="left"/>
      <w:rPr>
        <w:rFonts w:hint="eastAsia"/>
      </w:rPr>
    </w:lvl>
  </w:abstractNum>
  <w:abstractNum w:abstractNumId="1">
    <w:nsid w:val="FFFFFF1D"/>
    <w:multiLevelType w:val="multilevel"/>
    <w:tmpl w:val="FFFFFF1D"/>
    <w:lvl w:ilvl="0" w:tentative="0">
      <w:start w:val="1"/>
      <w:numFmt w:val="bullet"/>
      <w:pStyle w:val="102"/>
      <w:lvlText w:val=""/>
      <w:lvlJc w:val="left"/>
      <w:pPr>
        <w:tabs>
          <w:tab w:val="left" w:pos="0"/>
        </w:tabs>
        <w:ind w:left="0" w:firstLine="0"/>
      </w:pPr>
      <w:rPr>
        <w:rFonts w:hint="default" w:ascii="Wingdings" w:hAnsi="Wingdings"/>
      </w:rPr>
    </w:lvl>
    <w:lvl w:ilvl="1" w:tentative="0">
      <w:start w:val="1"/>
      <w:numFmt w:val="bullet"/>
      <w:lvlText w:val=""/>
      <w:lvlJc w:val="left"/>
      <w:pPr>
        <w:tabs>
          <w:tab w:val="left" w:pos="720"/>
        </w:tabs>
        <w:ind w:left="1080" w:hanging="360"/>
      </w:pPr>
      <w:rPr>
        <w:rFonts w:hint="default" w:ascii="Symbol" w:hAnsi="Symbol"/>
      </w:rPr>
    </w:lvl>
    <w:lvl w:ilvl="2" w:tentative="0">
      <w:start w:val="1"/>
      <w:numFmt w:val="bullet"/>
      <w:lvlText w:val="o"/>
      <w:lvlJc w:val="left"/>
      <w:pPr>
        <w:tabs>
          <w:tab w:val="left" w:pos="1440"/>
        </w:tabs>
        <w:ind w:left="1800" w:hanging="360"/>
      </w:pPr>
      <w:rPr>
        <w:rFonts w:hint="default" w:ascii="Courier New" w:hAnsi="Courier New"/>
      </w:rPr>
    </w:lvl>
    <w:lvl w:ilvl="3" w:tentative="0">
      <w:start w:val="1"/>
      <w:numFmt w:val="bullet"/>
      <w:lvlText w:val=""/>
      <w:lvlJc w:val="left"/>
      <w:pPr>
        <w:tabs>
          <w:tab w:val="left" w:pos="2160"/>
        </w:tabs>
        <w:ind w:left="2520" w:hanging="360"/>
      </w:pPr>
      <w:rPr>
        <w:rFonts w:hint="default" w:ascii="Wingdings" w:hAnsi="Wingdings"/>
      </w:rPr>
    </w:lvl>
    <w:lvl w:ilvl="4" w:tentative="0">
      <w:start w:val="1"/>
      <w:numFmt w:val="bullet"/>
      <w:lvlText w:val=""/>
      <w:lvlJc w:val="left"/>
      <w:pPr>
        <w:tabs>
          <w:tab w:val="left" w:pos="2880"/>
        </w:tabs>
        <w:ind w:left="3240" w:hanging="360"/>
      </w:pPr>
      <w:rPr>
        <w:rFonts w:hint="default" w:ascii="Wingdings" w:hAnsi="Wingdings"/>
      </w:rPr>
    </w:lvl>
    <w:lvl w:ilvl="5" w:tentative="0">
      <w:start w:val="1"/>
      <w:numFmt w:val="bullet"/>
      <w:lvlText w:val=""/>
      <w:lvlJc w:val="left"/>
      <w:pPr>
        <w:tabs>
          <w:tab w:val="left" w:pos="3600"/>
        </w:tabs>
        <w:ind w:left="3960" w:hanging="360"/>
      </w:pPr>
      <w:rPr>
        <w:rFonts w:hint="default" w:ascii="Symbol" w:hAnsi="Symbol"/>
      </w:rPr>
    </w:lvl>
    <w:lvl w:ilvl="6" w:tentative="0">
      <w:start w:val="1"/>
      <w:numFmt w:val="bullet"/>
      <w:lvlText w:val="o"/>
      <w:lvlJc w:val="left"/>
      <w:pPr>
        <w:tabs>
          <w:tab w:val="left" w:pos="4320"/>
        </w:tabs>
        <w:ind w:left="4680" w:hanging="360"/>
      </w:pPr>
      <w:rPr>
        <w:rFonts w:hint="default" w:ascii="Courier New" w:hAnsi="Courier New"/>
      </w:rPr>
    </w:lvl>
    <w:lvl w:ilvl="7" w:tentative="0">
      <w:start w:val="1"/>
      <w:numFmt w:val="bullet"/>
      <w:lvlText w:val=""/>
      <w:lvlJc w:val="left"/>
      <w:pPr>
        <w:tabs>
          <w:tab w:val="left" w:pos="5040"/>
        </w:tabs>
        <w:ind w:left="5400" w:hanging="360"/>
      </w:pPr>
      <w:rPr>
        <w:rFonts w:hint="default" w:ascii="Wingdings" w:hAnsi="Wingdings"/>
      </w:rPr>
    </w:lvl>
    <w:lvl w:ilvl="8" w:tentative="0">
      <w:start w:val="1"/>
      <w:numFmt w:val="bullet"/>
      <w:lvlText w:val=""/>
      <w:lvlJc w:val="left"/>
      <w:pPr>
        <w:tabs>
          <w:tab w:val="left" w:pos="5760"/>
        </w:tabs>
        <w:ind w:left="6120" w:hanging="360"/>
      </w:pPr>
      <w:rPr>
        <w:rFonts w:hint="default" w:ascii="Wingdings" w:hAnsi="Wingdings"/>
      </w:rPr>
    </w:lvl>
  </w:abstractNum>
  <w:abstractNum w:abstractNumId="2">
    <w:nsid w:val="1FC91163"/>
    <w:multiLevelType w:val="multilevel"/>
    <w:tmpl w:val="1FC91163"/>
    <w:lvl w:ilvl="0" w:tentative="0">
      <w:start w:val="1"/>
      <w:numFmt w:val="decimal"/>
      <w:pStyle w:val="97"/>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00"/>
      <w:suff w:val="nothing"/>
      <w:lvlText w:val="%1.%2　"/>
      <w:lvlJc w:val="left"/>
      <w:pPr>
        <w:ind w:left="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04"/>
      <w:suff w:val="nothing"/>
      <w:lvlText w:val="%1.%2.%3　"/>
      <w:lvlJc w:val="left"/>
      <w:pPr>
        <w:ind w:left="420" w:firstLine="0"/>
      </w:pPr>
      <w:rPr>
        <w:rFonts w:hint="eastAsia" w:ascii="黑体" w:hAnsi="Times New Roman" w:eastAsia="黑体"/>
        <w:b w:val="0"/>
        <w:i w:val="0"/>
        <w:sz w:val="21"/>
      </w:rPr>
    </w:lvl>
    <w:lvl w:ilvl="3" w:tentative="0">
      <w:start w:val="1"/>
      <w:numFmt w:val="decimal"/>
      <w:pStyle w:val="110"/>
      <w:suff w:val="nothing"/>
      <w:lvlText w:val="%1.%2.%3.%4　"/>
      <w:lvlJc w:val="left"/>
      <w:pPr>
        <w:ind w:left="0" w:firstLine="0"/>
      </w:pPr>
      <w:rPr>
        <w:rFonts w:hint="eastAsia" w:ascii="黑体" w:hAnsi="Times New Roman" w:eastAsia="黑体"/>
        <w:b w:val="0"/>
        <w:i w:val="0"/>
        <w:sz w:val="21"/>
      </w:rPr>
    </w:lvl>
    <w:lvl w:ilvl="4" w:tentative="0">
      <w:start w:val="1"/>
      <w:numFmt w:val="decimal"/>
      <w:pStyle w:val="109"/>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76933334"/>
    <w:multiLevelType w:val="multilevel"/>
    <w:tmpl w:val="76933334"/>
    <w:lvl w:ilvl="0" w:tentative="0">
      <w:start w:val="1"/>
      <w:numFmt w:val="none"/>
      <w:pStyle w:val="108"/>
      <w:lvlText w:val="%1——"/>
      <w:lvlJc w:val="left"/>
      <w:pPr>
        <w:tabs>
          <w:tab w:val="left" w:pos="1140"/>
        </w:tabs>
        <w:ind w:left="840" w:hanging="420"/>
      </w:pPr>
      <w:rPr>
        <w:rFonts w:hint="eastAsia" w:ascii="黑体" w:hAnsi="黑体" w:eastAsia="黑体"/>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EwNTM5NzYwMDRjMzkwZTVkZjY2ODkwMGIxNGU0OTUifQ=="/>
  </w:docVars>
  <w:rsids>
    <w:rsidRoot w:val="004078BA"/>
    <w:rsid w:val="00000438"/>
    <w:rsid w:val="00000DE4"/>
    <w:rsid w:val="000014BC"/>
    <w:rsid w:val="00003696"/>
    <w:rsid w:val="0000403A"/>
    <w:rsid w:val="000056ED"/>
    <w:rsid w:val="00006CDA"/>
    <w:rsid w:val="00007AFD"/>
    <w:rsid w:val="00007BA1"/>
    <w:rsid w:val="00010E3F"/>
    <w:rsid w:val="00013879"/>
    <w:rsid w:val="00016E7A"/>
    <w:rsid w:val="0001734F"/>
    <w:rsid w:val="00020F09"/>
    <w:rsid w:val="0002116D"/>
    <w:rsid w:val="00021D25"/>
    <w:rsid w:val="00025052"/>
    <w:rsid w:val="000261A2"/>
    <w:rsid w:val="0002726A"/>
    <w:rsid w:val="0002794C"/>
    <w:rsid w:val="00030004"/>
    <w:rsid w:val="00030BB9"/>
    <w:rsid w:val="00030D00"/>
    <w:rsid w:val="00031DB0"/>
    <w:rsid w:val="0003438E"/>
    <w:rsid w:val="00035A7E"/>
    <w:rsid w:val="00037250"/>
    <w:rsid w:val="000373DA"/>
    <w:rsid w:val="00041199"/>
    <w:rsid w:val="00041B97"/>
    <w:rsid w:val="00042712"/>
    <w:rsid w:val="00044C7A"/>
    <w:rsid w:val="000462FA"/>
    <w:rsid w:val="00050BF5"/>
    <w:rsid w:val="00050F00"/>
    <w:rsid w:val="00051D0A"/>
    <w:rsid w:val="000542D5"/>
    <w:rsid w:val="00054B09"/>
    <w:rsid w:val="0005505B"/>
    <w:rsid w:val="000557D2"/>
    <w:rsid w:val="00056CF7"/>
    <w:rsid w:val="00057220"/>
    <w:rsid w:val="00057560"/>
    <w:rsid w:val="0006124D"/>
    <w:rsid w:val="000615E1"/>
    <w:rsid w:val="0006382B"/>
    <w:rsid w:val="00064996"/>
    <w:rsid w:val="000672F7"/>
    <w:rsid w:val="00070D75"/>
    <w:rsid w:val="000712E1"/>
    <w:rsid w:val="00071717"/>
    <w:rsid w:val="00076CC4"/>
    <w:rsid w:val="00077302"/>
    <w:rsid w:val="000776C8"/>
    <w:rsid w:val="0008241F"/>
    <w:rsid w:val="00082EAB"/>
    <w:rsid w:val="00083415"/>
    <w:rsid w:val="0008379E"/>
    <w:rsid w:val="000846AC"/>
    <w:rsid w:val="00085F15"/>
    <w:rsid w:val="0008650A"/>
    <w:rsid w:val="00091D29"/>
    <w:rsid w:val="0009454A"/>
    <w:rsid w:val="00094ADD"/>
    <w:rsid w:val="00095B02"/>
    <w:rsid w:val="000A0FCF"/>
    <w:rsid w:val="000A2571"/>
    <w:rsid w:val="000A2D70"/>
    <w:rsid w:val="000A3DCD"/>
    <w:rsid w:val="000A4B40"/>
    <w:rsid w:val="000A53A9"/>
    <w:rsid w:val="000A5548"/>
    <w:rsid w:val="000A5F39"/>
    <w:rsid w:val="000A6022"/>
    <w:rsid w:val="000A6701"/>
    <w:rsid w:val="000A75FF"/>
    <w:rsid w:val="000B1B55"/>
    <w:rsid w:val="000B25C1"/>
    <w:rsid w:val="000B3D7D"/>
    <w:rsid w:val="000B45EF"/>
    <w:rsid w:val="000B5366"/>
    <w:rsid w:val="000B5546"/>
    <w:rsid w:val="000B673B"/>
    <w:rsid w:val="000B6826"/>
    <w:rsid w:val="000B750E"/>
    <w:rsid w:val="000B7C84"/>
    <w:rsid w:val="000C02FA"/>
    <w:rsid w:val="000C055A"/>
    <w:rsid w:val="000C0EB3"/>
    <w:rsid w:val="000C1D15"/>
    <w:rsid w:val="000C1EC3"/>
    <w:rsid w:val="000C21F1"/>
    <w:rsid w:val="000C2477"/>
    <w:rsid w:val="000C2E1C"/>
    <w:rsid w:val="000C30FC"/>
    <w:rsid w:val="000C3244"/>
    <w:rsid w:val="000C42A3"/>
    <w:rsid w:val="000C4426"/>
    <w:rsid w:val="000C58E0"/>
    <w:rsid w:val="000C7349"/>
    <w:rsid w:val="000C7A77"/>
    <w:rsid w:val="000D0959"/>
    <w:rsid w:val="000D0BB8"/>
    <w:rsid w:val="000D3B57"/>
    <w:rsid w:val="000D46AC"/>
    <w:rsid w:val="000D4751"/>
    <w:rsid w:val="000D5705"/>
    <w:rsid w:val="000D5A81"/>
    <w:rsid w:val="000D72A7"/>
    <w:rsid w:val="000E01A2"/>
    <w:rsid w:val="000E095D"/>
    <w:rsid w:val="000E176E"/>
    <w:rsid w:val="000E26E9"/>
    <w:rsid w:val="000E3199"/>
    <w:rsid w:val="000E3700"/>
    <w:rsid w:val="000E6338"/>
    <w:rsid w:val="000E6C24"/>
    <w:rsid w:val="000F0AF1"/>
    <w:rsid w:val="000F125A"/>
    <w:rsid w:val="000F303B"/>
    <w:rsid w:val="000F3C1F"/>
    <w:rsid w:val="000F3DE9"/>
    <w:rsid w:val="000F3E60"/>
    <w:rsid w:val="000F4D38"/>
    <w:rsid w:val="000F694B"/>
    <w:rsid w:val="000F6BB9"/>
    <w:rsid w:val="00103C2F"/>
    <w:rsid w:val="001048C6"/>
    <w:rsid w:val="00105BFD"/>
    <w:rsid w:val="00105D46"/>
    <w:rsid w:val="001109C9"/>
    <w:rsid w:val="001122C5"/>
    <w:rsid w:val="001164CF"/>
    <w:rsid w:val="001169F5"/>
    <w:rsid w:val="001177CB"/>
    <w:rsid w:val="00117CE8"/>
    <w:rsid w:val="00120309"/>
    <w:rsid w:val="00121032"/>
    <w:rsid w:val="00122FCC"/>
    <w:rsid w:val="00123426"/>
    <w:rsid w:val="001238FC"/>
    <w:rsid w:val="001255F6"/>
    <w:rsid w:val="001257B3"/>
    <w:rsid w:val="00125E72"/>
    <w:rsid w:val="0012710A"/>
    <w:rsid w:val="001273F5"/>
    <w:rsid w:val="00127DCA"/>
    <w:rsid w:val="00130053"/>
    <w:rsid w:val="0013064F"/>
    <w:rsid w:val="00130D5F"/>
    <w:rsid w:val="001317CC"/>
    <w:rsid w:val="0013206F"/>
    <w:rsid w:val="00132CEE"/>
    <w:rsid w:val="00132E79"/>
    <w:rsid w:val="0013405E"/>
    <w:rsid w:val="0013488B"/>
    <w:rsid w:val="0013508C"/>
    <w:rsid w:val="001358BC"/>
    <w:rsid w:val="00136F2F"/>
    <w:rsid w:val="00140225"/>
    <w:rsid w:val="001410A1"/>
    <w:rsid w:val="001416E8"/>
    <w:rsid w:val="001424BE"/>
    <w:rsid w:val="00142695"/>
    <w:rsid w:val="001438CE"/>
    <w:rsid w:val="00143B09"/>
    <w:rsid w:val="0014453A"/>
    <w:rsid w:val="001451FB"/>
    <w:rsid w:val="0014588E"/>
    <w:rsid w:val="00146920"/>
    <w:rsid w:val="00146E9C"/>
    <w:rsid w:val="00147F94"/>
    <w:rsid w:val="00151000"/>
    <w:rsid w:val="00152534"/>
    <w:rsid w:val="00152710"/>
    <w:rsid w:val="00153279"/>
    <w:rsid w:val="00153EA8"/>
    <w:rsid w:val="00154ACA"/>
    <w:rsid w:val="00157A4F"/>
    <w:rsid w:val="00160AB5"/>
    <w:rsid w:val="00163BDE"/>
    <w:rsid w:val="00163F9D"/>
    <w:rsid w:val="00164917"/>
    <w:rsid w:val="0016535E"/>
    <w:rsid w:val="0017157D"/>
    <w:rsid w:val="00172523"/>
    <w:rsid w:val="00173C5C"/>
    <w:rsid w:val="00173CF9"/>
    <w:rsid w:val="00175A67"/>
    <w:rsid w:val="00176EFE"/>
    <w:rsid w:val="00181F6F"/>
    <w:rsid w:val="00183B17"/>
    <w:rsid w:val="0018490D"/>
    <w:rsid w:val="001855CE"/>
    <w:rsid w:val="00192366"/>
    <w:rsid w:val="001926B5"/>
    <w:rsid w:val="00193EEF"/>
    <w:rsid w:val="00195DFF"/>
    <w:rsid w:val="001963B3"/>
    <w:rsid w:val="00196779"/>
    <w:rsid w:val="00196BE5"/>
    <w:rsid w:val="001977F3"/>
    <w:rsid w:val="001A1D61"/>
    <w:rsid w:val="001A36C8"/>
    <w:rsid w:val="001A3A79"/>
    <w:rsid w:val="001A3D75"/>
    <w:rsid w:val="001A3EEB"/>
    <w:rsid w:val="001A4F4F"/>
    <w:rsid w:val="001A5405"/>
    <w:rsid w:val="001A5C40"/>
    <w:rsid w:val="001A76A2"/>
    <w:rsid w:val="001B124E"/>
    <w:rsid w:val="001B177F"/>
    <w:rsid w:val="001B2147"/>
    <w:rsid w:val="001B25EE"/>
    <w:rsid w:val="001B3735"/>
    <w:rsid w:val="001B376D"/>
    <w:rsid w:val="001B45FF"/>
    <w:rsid w:val="001B4C39"/>
    <w:rsid w:val="001B5BD2"/>
    <w:rsid w:val="001B6175"/>
    <w:rsid w:val="001B7B5C"/>
    <w:rsid w:val="001B7BA6"/>
    <w:rsid w:val="001C1786"/>
    <w:rsid w:val="001C2363"/>
    <w:rsid w:val="001C27E7"/>
    <w:rsid w:val="001C3189"/>
    <w:rsid w:val="001C4B2B"/>
    <w:rsid w:val="001C50B9"/>
    <w:rsid w:val="001C526B"/>
    <w:rsid w:val="001C5CFB"/>
    <w:rsid w:val="001C7C94"/>
    <w:rsid w:val="001D0F1B"/>
    <w:rsid w:val="001D113F"/>
    <w:rsid w:val="001D199C"/>
    <w:rsid w:val="001D1D69"/>
    <w:rsid w:val="001D5052"/>
    <w:rsid w:val="001D56B8"/>
    <w:rsid w:val="001D6F71"/>
    <w:rsid w:val="001D7866"/>
    <w:rsid w:val="001D7BD3"/>
    <w:rsid w:val="001E01D9"/>
    <w:rsid w:val="001E27F2"/>
    <w:rsid w:val="001E4085"/>
    <w:rsid w:val="001E4C5B"/>
    <w:rsid w:val="001E50B2"/>
    <w:rsid w:val="001E57E4"/>
    <w:rsid w:val="001E58BD"/>
    <w:rsid w:val="001E610C"/>
    <w:rsid w:val="001E6335"/>
    <w:rsid w:val="001E690A"/>
    <w:rsid w:val="001E6F69"/>
    <w:rsid w:val="001F06F8"/>
    <w:rsid w:val="001F0935"/>
    <w:rsid w:val="001F2371"/>
    <w:rsid w:val="001F2E45"/>
    <w:rsid w:val="001F33E3"/>
    <w:rsid w:val="001F3FB2"/>
    <w:rsid w:val="001F45CE"/>
    <w:rsid w:val="001F4BD1"/>
    <w:rsid w:val="001F4FB0"/>
    <w:rsid w:val="001F68CF"/>
    <w:rsid w:val="001F69EF"/>
    <w:rsid w:val="001F6A3D"/>
    <w:rsid w:val="001F7105"/>
    <w:rsid w:val="001F7865"/>
    <w:rsid w:val="00201CDC"/>
    <w:rsid w:val="00202895"/>
    <w:rsid w:val="00202A16"/>
    <w:rsid w:val="00202E38"/>
    <w:rsid w:val="00203AE3"/>
    <w:rsid w:val="002048F0"/>
    <w:rsid w:val="00206E0B"/>
    <w:rsid w:val="002072AC"/>
    <w:rsid w:val="002076C2"/>
    <w:rsid w:val="0020793F"/>
    <w:rsid w:val="002102CB"/>
    <w:rsid w:val="0021167F"/>
    <w:rsid w:val="002116D3"/>
    <w:rsid w:val="00211A6B"/>
    <w:rsid w:val="0021249A"/>
    <w:rsid w:val="00215338"/>
    <w:rsid w:val="002156D0"/>
    <w:rsid w:val="00216398"/>
    <w:rsid w:val="00217619"/>
    <w:rsid w:val="00217B62"/>
    <w:rsid w:val="00217E61"/>
    <w:rsid w:val="00220B16"/>
    <w:rsid w:val="00223E4F"/>
    <w:rsid w:val="00225910"/>
    <w:rsid w:val="00226F74"/>
    <w:rsid w:val="00227219"/>
    <w:rsid w:val="00235C65"/>
    <w:rsid w:val="002404FE"/>
    <w:rsid w:val="002410C6"/>
    <w:rsid w:val="002415ED"/>
    <w:rsid w:val="0024199C"/>
    <w:rsid w:val="00242AF5"/>
    <w:rsid w:val="00244159"/>
    <w:rsid w:val="00244FB3"/>
    <w:rsid w:val="00245B74"/>
    <w:rsid w:val="00245EEF"/>
    <w:rsid w:val="002467AA"/>
    <w:rsid w:val="00247706"/>
    <w:rsid w:val="00247872"/>
    <w:rsid w:val="00251499"/>
    <w:rsid w:val="00251A7C"/>
    <w:rsid w:val="002537E5"/>
    <w:rsid w:val="00254126"/>
    <w:rsid w:val="00254722"/>
    <w:rsid w:val="00254783"/>
    <w:rsid w:val="00255548"/>
    <w:rsid w:val="00257323"/>
    <w:rsid w:val="00257C26"/>
    <w:rsid w:val="00257ED8"/>
    <w:rsid w:val="00262548"/>
    <w:rsid w:val="00264E71"/>
    <w:rsid w:val="00265463"/>
    <w:rsid w:val="0026665E"/>
    <w:rsid w:val="00270D1F"/>
    <w:rsid w:val="00271A99"/>
    <w:rsid w:val="00271B34"/>
    <w:rsid w:val="00271BF8"/>
    <w:rsid w:val="00273016"/>
    <w:rsid w:val="00274098"/>
    <w:rsid w:val="0027437D"/>
    <w:rsid w:val="00274DFA"/>
    <w:rsid w:val="00275BE9"/>
    <w:rsid w:val="00276D73"/>
    <w:rsid w:val="002821A6"/>
    <w:rsid w:val="002826C7"/>
    <w:rsid w:val="00283575"/>
    <w:rsid w:val="002835EC"/>
    <w:rsid w:val="002839F6"/>
    <w:rsid w:val="00284678"/>
    <w:rsid w:val="00284AE7"/>
    <w:rsid w:val="00291B8B"/>
    <w:rsid w:val="00291C16"/>
    <w:rsid w:val="00293C81"/>
    <w:rsid w:val="00293F02"/>
    <w:rsid w:val="002951C8"/>
    <w:rsid w:val="00295E87"/>
    <w:rsid w:val="0029611B"/>
    <w:rsid w:val="00297D78"/>
    <w:rsid w:val="002A0B89"/>
    <w:rsid w:val="002A621D"/>
    <w:rsid w:val="002A6261"/>
    <w:rsid w:val="002A7206"/>
    <w:rsid w:val="002B2F52"/>
    <w:rsid w:val="002B306C"/>
    <w:rsid w:val="002B391A"/>
    <w:rsid w:val="002B4A4A"/>
    <w:rsid w:val="002B4CF5"/>
    <w:rsid w:val="002B5590"/>
    <w:rsid w:val="002B5BF4"/>
    <w:rsid w:val="002B7090"/>
    <w:rsid w:val="002B7235"/>
    <w:rsid w:val="002B7524"/>
    <w:rsid w:val="002C0C9F"/>
    <w:rsid w:val="002C1312"/>
    <w:rsid w:val="002C1E9D"/>
    <w:rsid w:val="002C2081"/>
    <w:rsid w:val="002C5D78"/>
    <w:rsid w:val="002C6DE0"/>
    <w:rsid w:val="002D1D71"/>
    <w:rsid w:val="002D2679"/>
    <w:rsid w:val="002D29D2"/>
    <w:rsid w:val="002D3398"/>
    <w:rsid w:val="002D4881"/>
    <w:rsid w:val="002D4EF6"/>
    <w:rsid w:val="002D5B7E"/>
    <w:rsid w:val="002D600E"/>
    <w:rsid w:val="002D7040"/>
    <w:rsid w:val="002E1762"/>
    <w:rsid w:val="002E1F8A"/>
    <w:rsid w:val="002E385C"/>
    <w:rsid w:val="002E43CA"/>
    <w:rsid w:val="002E58B1"/>
    <w:rsid w:val="002E6C63"/>
    <w:rsid w:val="002F08EB"/>
    <w:rsid w:val="002F1300"/>
    <w:rsid w:val="002F160B"/>
    <w:rsid w:val="002F1D7C"/>
    <w:rsid w:val="002F2F89"/>
    <w:rsid w:val="002F35B0"/>
    <w:rsid w:val="002F3ABB"/>
    <w:rsid w:val="002F4EAD"/>
    <w:rsid w:val="002F4EB0"/>
    <w:rsid w:val="002F6B6D"/>
    <w:rsid w:val="002F7F15"/>
    <w:rsid w:val="0030254D"/>
    <w:rsid w:val="00303171"/>
    <w:rsid w:val="0030341D"/>
    <w:rsid w:val="0030419D"/>
    <w:rsid w:val="00304BC5"/>
    <w:rsid w:val="00305C60"/>
    <w:rsid w:val="00306011"/>
    <w:rsid w:val="00310A02"/>
    <w:rsid w:val="00311C63"/>
    <w:rsid w:val="00312298"/>
    <w:rsid w:val="003122E7"/>
    <w:rsid w:val="00312D34"/>
    <w:rsid w:val="0031595A"/>
    <w:rsid w:val="00321F84"/>
    <w:rsid w:val="003220E0"/>
    <w:rsid w:val="0032239D"/>
    <w:rsid w:val="00322886"/>
    <w:rsid w:val="0032299A"/>
    <w:rsid w:val="00322B47"/>
    <w:rsid w:val="00322D24"/>
    <w:rsid w:val="00322F2A"/>
    <w:rsid w:val="003235DC"/>
    <w:rsid w:val="003248CB"/>
    <w:rsid w:val="00325CDC"/>
    <w:rsid w:val="003279CE"/>
    <w:rsid w:val="00327CB7"/>
    <w:rsid w:val="00330A5F"/>
    <w:rsid w:val="00332F98"/>
    <w:rsid w:val="00335F7B"/>
    <w:rsid w:val="003361C7"/>
    <w:rsid w:val="00337BEE"/>
    <w:rsid w:val="003404BE"/>
    <w:rsid w:val="0034078C"/>
    <w:rsid w:val="00341008"/>
    <w:rsid w:val="00341BF5"/>
    <w:rsid w:val="00341F3C"/>
    <w:rsid w:val="00345E57"/>
    <w:rsid w:val="0035027D"/>
    <w:rsid w:val="0035052D"/>
    <w:rsid w:val="00351659"/>
    <w:rsid w:val="003516D1"/>
    <w:rsid w:val="0035219F"/>
    <w:rsid w:val="0035232F"/>
    <w:rsid w:val="003524ED"/>
    <w:rsid w:val="003532EA"/>
    <w:rsid w:val="003540DD"/>
    <w:rsid w:val="003550D1"/>
    <w:rsid w:val="003552C6"/>
    <w:rsid w:val="00355806"/>
    <w:rsid w:val="00356C81"/>
    <w:rsid w:val="00357A17"/>
    <w:rsid w:val="0036076D"/>
    <w:rsid w:val="00360B2A"/>
    <w:rsid w:val="00360BE2"/>
    <w:rsid w:val="00360E22"/>
    <w:rsid w:val="0036160A"/>
    <w:rsid w:val="00361E04"/>
    <w:rsid w:val="003623AA"/>
    <w:rsid w:val="00362A20"/>
    <w:rsid w:val="00363300"/>
    <w:rsid w:val="003639B9"/>
    <w:rsid w:val="00363CD1"/>
    <w:rsid w:val="00366425"/>
    <w:rsid w:val="0037091B"/>
    <w:rsid w:val="00372CE0"/>
    <w:rsid w:val="00373DDF"/>
    <w:rsid w:val="00374D3E"/>
    <w:rsid w:val="00376AA5"/>
    <w:rsid w:val="00376E6E"/>
    <w:rsid w:val="00380293"/>
    <w:rsid w:val="00380EF1"/>
    <w:rsid w:val="00381372"/>
    <w:rsid w:val="00382FEB"/>
    <w:rsid w:val="003838DB"/>
    <w:rsid w:val="00383A1C"/>
    <w:rsid w:val="003841A1"/>
    <w:rsid w:val="0038433D"/>
    <w:rsid w:val="00384385"/>
    <w:rsid w:val="003858A2"/>
    <w:rsid w:val="00390ED8"/>
    <w:rsid w:val="00392C4D"/>
    <w:rsid w:val="00393A8E"/>
    <w:rsid w:val="0039442E"/>
    <w:rsid w:val="0039502C"/>
    <w:rsid w:val="00395341"/>
    <w:rsid w:val="00395849"/>
    <w:rsid w:val="00395BA6"/>
    <w:rsid w:val="003963C3"/>
    <w:rsid w:val="00396B16"/>
    <w:rsid w:val="00396BF2"/>
    <w:rsid w:val="0039761B"/>
    <w:rsid w:val="003A05A1"/>
    <w:rsid w:val="003A0942"/>
    <w:rsid w:val="003A1CD4"/>
    <w:rsid w:val="003A2778"/>
    <w:rsid w:val="003A7CF2"/>
    <w:rsid w:val="003B056A"/>
    <w:rsid w:val="003B1A9F"/>
    <w:rsid w:val="003B1FE9"/>
    <w:rsid w:val="003B20CB"/>
    <w:rsid w:val="003B2A88"/>
    <w:rsid w:val="003B4471"/>
    <w:rsid w:val="003B4EB7"/>
    <w:rsid w:val="003B4F6C"/>
    <w:rsid w:val="003B501A"/>
    <w:rsid w:val="003B7A91"/>
    <w:rsid w:val="003C0122"/>
    <w:rsid w:val="003C118A"/>
    <w:rsid w:val="003C1CCA"/>
    <w:rsid w:val="003C4C5D"/>
    <w:rsid w:val="003C622B"/>
    <w:rsid w:val="003C684C"/>
    <w:rsid w:val="003D1297"/>
    <w:rsid w:val="003D1362"/>
    <w:rsid w:val="003D25C4"/>
    <w:rsid w:val="003D2B30"/>
    <w:rsid w:val="003D33D6"/>
    <w:rsid w:val="003D4F25"/>
    <w:rsid w:val="003D60C2"/>
    <w:rsid w:val="003D64B7"/>
    <w:rsid w:val="003E0003"/>
    <w:rsid w:val="003E3210"/>
    <w:rsid w:val="003E3753"/>
    <w:rsid w:val="003E381E"/>
    <w:rsid w:val="003E4565"/>
    <w:rsid w:val="003E5234"/>
    <w:rsid w:val="003E54D1"/>
    <w:rsid w:val="003E6E4D"/>
    <w:rsid w:val="003E7805"/>
    <w:rsid w:val="003F0A1C"/>
    <w:rsid w:val="003F0B58"/>
    <w:rsid w:val="003F37D4"/>
    <w:rsid w:val="003F3F8A"/>
    <w:rsid w:val="00400217"/>
    <w:rsid w:val="00402ED0"/>
    <w:rsid w:val="0040387B"/>
    <w:rsid w:val="00404735"/>
    <w:rsid w:val="00405166"/>
    <w:rsid w:val="00405F12"/>
    <w:rsid w:val="00407347"/>
    <w:rsid w:val="004078BA"/>
    <w:rsid w:val="00410231"/>
    <w:rsid w:val="004103DC"/>
    <w:rsid w:val="004130A7"/>
    <w:rsid w:val="00413ADF"/>
    <w:rsid w:val="00416244"/>
    <w:rsid w:val="004166D9"/>
    <w:rsid w:val="00416855"/>
    <w:rsid w:val="00420BB3"/>
    <w:rsid w:val="00420FDB"/>
    <w:rsid w:val="00422CCC"/>
    <w:rsid w:val="00423010"/>
    <w:rsid w:val="00424C80"/>
    <w:rsid w:val="0042750D"/>
    <w:rsid w:val="00427D0C"/>
    <w:rsid w:val="00432CA8"/>
    <w:rsid w:val="00434AA9"/>
    <w:rsid w:val="0043503A"/>
    <w:rsid w:val="004364A7"/>
    <w:rsid w:val="0043784F"/>
    <w:rsid w:val="00440093"/>
    <w:rsid w:val="00441FE4"/>
    <w:rsid w:val="00443967"/>
    <w:rsid w:val="00446431"/>
    <w:rsid w:val="00446ECF"/>
    <w:rsid w:val="00447055"/>
    <w:rsid w:val="00451FAC"/>
    <w:rsid w:val="004522E0"/>
    <w:rsid w:val="004534A8"/>
    <w:rsid w:val="00455FBD"/>
    <w:rsid w:val="00456F2C"/>
    <w:rsid w:val="0045786D"/>
    <w:rsid w:val="00461329"/>
    <w:rsid w:val="0046180C"/>
    <w:rsid w:val="0046186A"/>
    <w:rsid w:val="00461BBD"/>
    <w:rsid w:val="00461FCB"/>
    <w:rsid w:val="00462AFB"/>
    <w:rsid w:val="00463B14"/>
    <w:rsid w:val="0046466C"/>
    <w:rsid w:val="00464EC7"/>
    <w:rsid w:val="00465302"/>
    <w:rsid w:val="00465D35"/>
    <w:rsid w:val="004666BA"/>
    <w:rsid w:val="004679F8"/>
    <w:rsid w:val="00470704"/>
    <w:rsid w:val="00470A30"/>
    <w:rsid w:val="004734D3"/>
    <w:rsid w:val="00473D1E"/>
    <w:rsid w:val="00475DF6"/>
    <w:rsid w:val="00476CB8"/>
    <w:rsid w:val="00481DEF"/>
    <w:rsid w:val="0048525C"/>
    <w:rsid w:val="0048559B"/>
    <w:rsid w:val="0048687B"/>
    <w:rsid w:val="004904EF"/>
    <w:rsid w:val="0049183F"/>
    <w:rsid w:val="004924ED"/>
    <w:rsid w:val="00493F90"/>
    <w:rsid w:val="0049411A"/>
    <w:rsid w:val="00496257"/>
    <w:rsid w:val="00496912"/>
    <w:rsid w:val="004A20F6"/>
    <w:rsid w:val="004A20FE"/>
    <w:rsid w:val="004A22D0"/>
    <w:rsid w:val="004A22E9"/>
    <w:rsid w:val="004A3EFD"/>
    <w:rsid w:val="004A3F5F"/>
    <w:rsid w:val="004A5133"/>
    <w:rsid w:val="004B2100"/>
    <w:rsid w:val="004B46A2"/>
    <w:rsid w:val="004B52A8"/>
    <w:rsid w:val="004C1129"/>
    <w:rsid w:val="004C3ADA"/>
    <w:rsid w:val="004C40EB"/>
    <w:rsid w:val="004C7776"/>
    <w:rsid w:val="004D0D04"/>
    <w:rsid w:val="004D0F7D"/>
    <w:rsid w:val="004D1019"/>
    <w:rsid w:val="004D1C5D"/>
    <w:rsid w:val="004D2C4B"/>
    <w:rsid w:val="004D2D5E"/>
    <w:rsid w:val="004D2FB2"/>
    <w:rsid w:val="004D2FBF"/>
    <w:rsid w:val="004D2FE5"/>
    <w:rsid w:val="004D34CA"/>
    <w:rsid w:val="004D4D60"/>
    <w:rsid w:val="004D585E"/>
    <w:rsid w:val="004D7876"/>
    <w:rsid w:val="004E11E4"/>
    <w:rsid w:val="004E27CE"/>
    <w:rsid w:val="004E3413"/>
    <w:rsid w:val="004E381B"/>
    <w:rsid w:val="004E6642"/>
    <w:rsid w:val="004E69E7"/>
    <w:rsid w:val="004E6B2F"/>
    <w:rsid w:val="004E70F5"/>
    <w:rsid w:val="004E74CE"/>
    <w:rsid w:val="004F0580"/>
    <w:rsid w:val="004F224B"/>
    <w:rsid w:val="004F239D"/>
    <w:rsid w:val="004F36F9"/>
    <w:rsid w:val="004F3F09"/>
    <w:rsid w:val="004F485A"/>
    <w:rsid w:val="004F54F0"/>
    <w:rsid w:val="004F5E2A"/>
    <w:rsid w:val="004F707A"/>
    <w:rsid w:val="00501D36"/>
    <w:rsid w:val="005045F3"/>
    <w:rsid w:val="005047C9"/>
    <w:rsid w:val="00505E95"/>
    <w:rsid w:val="0050683B"/>
    <w:rsid w:val="00506A36"/>
    <w:rsid w:val="00510269"/>
    <w:rsid w:val="00510E2D"/>
    <w:rsid w:val="005136EB"/>
    <w:rsid w:val="00513B11"/>
    <w:rsid w:val="005148E6"/>
    <w:rsid w:val="00515388"/>
    <w:rsid w:val="00515FE5"/>
    <w:rsid w:val="0051650F"/>
    <w:rsid w:val="00517590"/>
    <w:rsid w:val="00517C50"/>
    <w:rsid w:val="00520119"/>
    <w:rsid w:val="00520A6C"/>
    <w:rsid w:val="0052102D"/>
    <w:rsid w:val="0052180C"/>
    <w:rsid w:val="0052231C"/>
    <w:rsid w:val="0052293E"/>
    <w:rsid w:val="005240D5"/>
    <w:rsid w:val="00524B0B"/>
    <w:rsid w:val="00524D87"/>
    <w:rsid w:val="00525CC9"/>
    <w:rsid w:val="00530C64"/>
    <w:rsid w:val="00531BF5"/>
    <w:rsid w:val="005322D9"/>
    <w:rsid w:val="00532FC0"/>
    <w:rsid w:val="0053432E"/>
    <w:rsid w:val="005348E2"/>
    <w:rsid w:val="00534FB8"/>
    <w:rsid w:val="0053717A"/>
    <w:rsid w:val="00537C68"/>
    <w:rsid w:val="00537D16"/>
    <w:rsid w:val="005407C2"/>
    <w:rsid w:val="0054083E"/>
    <w:rsid w:val="00540A70"/>
    <w:rsid w:val="00541616"/>
    <w:rsid w:val="00541A8D"/>
    <w:rsid w:val="00542064"/>
    <w:rsid w:val="005426D5"/>
    <w:rsid w:val="00542718"/>
    <w:rsid w:val="00542E34"/>
    <w:rsid w:val="00542F47"/>
    <w:rsid w:val="00544306"/>
    <w:rsid w:val="00544D55"/>
    <w:rsid w:val="00550004"/>
    <w:rsid w:val="0055010D"/>
    <w:rsid w:val="005502D5"/>
    <w:rsid w:val="0055194F"/>
    <w:rsid w:val="00554C7F"/>
    <w:rsid w:val="00554E30"/>
    <w:rsid w:val="00555564"/>
    <w:rsid w:val="0055565F"/>
    <w:rsid w:val="00556667"/>
    <w:rsid w:val="005570BC"/>
    <w:rsid w:val="005608B7"/>
    <w:rsid w:val="00560C79"/>
    <w:rsid w:val="00561CF1"/>
    <w:rsid w:val="00565928"/>
    <w:rsid w:val="005679B1"/>
    <w:rsid w:val="005703C3"/>
    <w:rsid w:val="00570C3C"/>
    <w:rsid w:val="00571734"/>
    <w:rsid w:val="00574DE5"/>
    <w:rsid w:val="00574E45"/>
    <w:rsid w:val="005754B7"/>
    <w:rsid w:val="00576BB4"/>
    <w:rsid w:val="00576E5E"/>
    <w:rsid w:val="00577EC4"/>
    <w:rsid w:val="005801AA"/>
    <w:rsid w:val="00580F02"/>
    <w:rsid w:val="005812CB"/>
    <w:rsid w:val="005817B4"/>
    <w:rsid w:val="00581F35"/>
    <w:rsid w:val="00582CE6"/>
    <w:rsid w:val="005831D7"/>
    <w:rsid w:val="00585B0D"/>
    <w:rsid w:val="00585D1B"/>
    <w:rsid w:val="00585E9E"/>
    <w:rsid w:val="0058617F"/>
    <w:rsid w:val="00586C00"/>
    <w:rsid w:val="00586C98"/>
    <w:rsid w:val="00591637"/>
    <w:rsid w:val="00594504"/>
    <w:rsid w:val="0059471F"/>
    <w:rsid w:val="00594D6F"/>
    <w:rsid w:val="00595069"/>
    <w:rsid w:val="00596BA1"/>
    <w:rsid w:val="00597315"/>
    <w:rsid w:val="005977FC"/>
    <w:rsid w:val="005A0068"/>
    <w:rsid w:val="005A10FE"/>
    <w:rsid w:val="005A18DD"/>
    <w:rsid w:val="005A19BF"/>
    <w:rsid w:val="005A1C3B"/>
    <w:rsid w:val="005A1EBF"/>
    <w:rsid w:val="005A3EA5"/>
    <w:rsid w:val="005A5FE7"/>
    <w:rsid w:val="005A6DAA"/>
    <w:rsid w:val="005A7979"/>
    <w:rsid w:val="005A7C76"/>
    <w:rsid w:val="005B18C0"/>
    <w:rsid w:val="005B33BC"/>
    <w:rsid w:val="005B4420"/>
    <w:rsid w:val="005B45E1"/>
    <w:rsid w:val="005B51CF"/>
    <w:rsid w:val="005B57AE"/>
    <w:rsid w:val="005B5E39"/>
    <w:rsid w:val="005B7BAE"/>
    <w:rsid w:val="005C0667"/>
    <w:rsid w:val="005C1DEF"/>
    <w:rsid w:val="005C2B30"/>
    <w:rsid w:val="005C5AC6"/>
    <w:rsid w:val="005D017E"/>
    <w:rsid w:val="005D065A"/>
    <w:rsid w:val="005D1EA1"/>
    <w:rsid w:val="005D2683"/>
    <w:rsid w:val="005D2CF9"/>
    <w:rsid w:val="005D379B"/>
    <w:rsid w:val="005D4F63"/>
    <w:rsid w:val="005D4FA2"/>
    <w:rsid w:val="005D599B"/>
    <w:rsid w:val="005D7229"/>
    <w:rsid w:val="005D736B"/>
    <w:rsid w:val="005D7B00"/>
    <w:rsid w:val="005E0729"/>
    <w:rsid w:val="005E0FBA"/>
    <w:rsid w:val="005E2757"/>
    <w:rsid w:val="005E3FD4"/>
    <w:rsid w:val="005E4713"/>
    <w:rsid w:val="005E5899"/>
    <w:rsid w:val="005E6957"/>
    <w:rsid w:val="005E72DB"/>
    <w:rsid w:val="005F01BF"/>
    <w:rsid w:val="005F208C"/>
    <w:rsid w:val="005F3E8F"/>
    <w:rsid w:val="005F4424"/>
    <w:rsid w:val="005F47CA"/>
    <w:rsid w:val="005F48AC"/>
    <w:rsid w:val="005F5054"/>
    <w:rsid w:val="005F5901"/>
    <w:rsid w:val="005F5E45"/>
    <w:rsid w:val="005F6D1E"/>
    <w:rsid w:val="00600668"/>
    <w:rsid w:val="0060210F"/>
    <w:rsid w:val="006028BC"/>
    <w:rsid w:val="00603268"/>
    <w:rsid w:val="006033EB"/>
    <w:rsid w:val="006065F4"/>
    <w:rsid w:val="0060747C"/>
    <w:rsid w:val="00610597"/>
    <w:rsid w:val="00611249"/>
    <w:rsid w:val="00612C40"/>
    <w:rsid w:val="00614B8E"/>
    <w:rsid w:val="00614E48"/>
    <w:rsid w:val="006155C5"/>
    <w:rsid w:val="0061613F"/>
    <w:rsid w:val="006179FA"/>
    <w:rsid w:val="00617B9A"/>
    <w:rsid w:val="00620A1E"/>
    <w:rsid w:val="006213CC"/>
    <w:rsid w:val="00624959"/>
    <w:rsid w:val="00624B71"/>
    <w:rsid w:val="006273D0"/>
    <w:rsid w:val="00631146"/>
    <w:rsid w:val="00631323"/>
    <w:rsid w:val="00631542"/>
    <w:rsid w:val="006320CE"/>
    <w:rsid w:val="00633BA5"/>
    <w:rsid w:val="0063412B"/>
    <w:rsid w:val="006351C0"/>
    <w:rsid w:val="00640D21"/>
    <w:rsid w:val="0064110B"/>
    <w:rsid w:val="0064122A"/>
    <w:rsid w:val="006428A5"/>
    <w:rsid w:val="006432B8"/>
    <w:rsid w:val="006505A9"/>
    <w:rsid w:val="00650DF3"/>
    <w:rsid w:val="00651165"/>
    <w:rsid w:val="0065169B"/>
    <w:rsid w:val="0065348A"/>
    <w:rsid w:val="0065353B"/>
    <w:rsid w:val="006537BB"/>
    <w:rsid w:val="00655E01"/>
    <w:rsid w:val="00656490"/>
    <w:rsid w:val="0065756D"/>
    <w:rsid w:val="006579C6"/>
    <w:rsid w:val="0066137B"/>
    <w:rsid w:val="006626F4"/>
    <w:rsid w:val="00662EF1"/>
    <w:rsid w:val="00662FA3"/>
    <w:rsid w:val="006636A1"/>
    <w:rsid w:val="006641F5"/>
    <w:rsid w:val="006644C4"/>
    <w:rsid w:val="006645E7"/>
    <w:rsid w:val="0066491D"/>
    <w:rsid w:val="00665FF2"/>
    <w:rsid w:val="00666899"/>
    <w:rsid w:val="006677B9"/>
    <w:rsid w:val="006728A0"/>
    <w:rsid w:val="00673040"/>
    <w:rsid w:val="00676025"/>
    <w:rsid w:val="00680CE0"/>
    <w:rsid w:val="00681D0B"/>
    <w:rsid w:val="006824B7"/>
    <w:rsid w:val="00683D45"/>
    <w:rsid w:val="00684ED9"/>
    <w:rsid w:val="00685A86"/>
    <w:rsid w:val="00685C2D"/>
    <w:rsid w:val="00686092"/>
    <w:rsid w:val="006862C0"/>
    <w:rsid w:val="00686313"/>
    <w:rsid w:val="00686735"/>
    <w:rsid w:val="006867AC"/>
    <w:rsid w:val="006870D0"/>
    <w:rsid w:val="0069199D"/>
    <w:rsid w:val="00691AB5"/>
    <w:rsid w:val="006920D9"/>
    <w:rsid w:val="006929FC"/>
    <w:rsid w:val="00692DB3"/>
    <w:rsid w:val="0069379F"/>
    <w:rsid w:val="00693D8E"/>
    <w:rsid w:val="00693EF4"/>
    <w:rsid w:val="006942AD"/>
    <w:rsid w:val="00694DA2"/>
    <w:rsid w:val="00695994"/>
    <w:rsid w:val="00696C5A"/>
    <w:rsid w:val="0069728B"/>
    <w:rsid w:val="00697D81"/>
    <w:rsid w:val="006A3599"/>
    <w:rsid w:val="006A5B44"/>
    <w:rsid w:val="006A6ED0"/>
    <w:rsid w:val="006A7507"/>
    <w:rsid w:val="006B1395"/>
    <w:rsid w:val="006B2573"/>
    <w:rsid w:val="006B2979"/>
    <w:rsid w:val="006B4D77"/>
    <w:rsid w:val="006B5F4F"/>
    <w:rsid w:val="006B6214"/>
    <w:rsid w:val="006B7701"/>
    <w:rsid w:val="006C0717"/>
    <w:rsid w:val="006C0809"/>
    <w:rsid w:val="006C1641"/>
    <w:rsid w:val="006C1E53"/>
    <w:rsid w:val="006C34F1"/>
    <w:rsid w:val="006C4E7B"/>
    <w:rsid w:val="006C55E3"/>
    <w:rsid w:val="006C7291"/>
    <w:rsid w:val="006C7E28"/>
    <w:rsid w:val="006D0DBF"/>
    <w:rsid w:val="006D14AF"/>
    <w:rsid w:val="006D18B1"/>
    <w:rsid w:val="006D1FFE"/>
    <w:rsid w:val="006D212A"/>
    <w:rsid w:val="006D21D7"/>
    <w:rsid w:val="006D27BA"/>
    <w:rsid w:val="006D30BF"/>
    <w:rsid w:val="006D50E4"/>
    <w:rsid w:val="006D5407"/>
    <w:rsid w:val="006D6473"/>
    <w:rsid w:val="006D68A6"/>
    <w:rsid w:val="006E09C5"/>
    <w:rsid w:val="006E1DA7"/>
    <w:rsid w:val="006E1F56"/>
    <w:rsid w:val="006E322B"/>
    <w:rsid w:val="006E3F0D"/>
    <w:rsid w:val="006E4739"/>
    <w:rsid w:val="006E530C"/>
    <w:rsid w:val="006E66F6"/>
    <w:rsid w:val="006E7DE7"/>
    <w:rsid w:val="006F0D68"/>
    <w:rsid w:val="006F1704"/>
    <w:rsid w:val="006F22A1"/>
    <w:rsid w:val="006F3B6E"/>
    <w:rsid w:val="007027FC"/>
    <w:rsid w:val="00703075"/>
    <w:rsid w:val="007031F6"/>
    <w:rsid w:val="00703535"/>
    <w:rsid w:val="00704979"/>
    <w:rsid w:val="00704F2E"/>
    <w:rsid w:val="00705F16"/>
    <w:rsid w:val="00707DC9"/>
    <w:rsid w:val="00707FE6"/>
    <w:rsid w:val="00711750"/>
    <w:rsid w:val="00712F55"/>
    <w:rsid w:val="00714762"/>
    <w:rsid w:val="00715C02"/>
    <w:rsid w:val="007170E9"/>
    <w:rsid w:val="0071723A"/>
    <w:rsid w:val="00717700"/>
    <w:rsid w:val="007179B2"/>
    <w:rsid w:val="00717CF3"/>
    <w:rsid w:val="00721285"/>
    <w:rsid w:val="00722B08"/>
    <w:rsid w:val="00723593"/>
    <w:rsid w:val="00723CF7"/>
    <w:rsid w:val="00723F7B"/>
    <w:rsid w:val="0072457F"/>
    <w:rsid w:val="00725B4B"/>
    <w:rsid w:val="00725F9A"/>
    <w:rsid w:val="00726C71"/>
    <w:rsid w:val="00726E83"/>
    <w:rsid w:val="00727F6E"/>
    <w:rsid w:val="00731653"/>
    <w:rsid w:val="00731B84"/>
    <w:rsid w:val="00731F56"/>
    <w:rsid w:val="0073268E"/>
    <w:rsid w:val="0073279B"/>
    <w:rsid w:val="0073293C"/>
    <w:rsid w:val="00733AFA"/>
    <w:rsid w:val="00734497"/>
    <w:rsid w:val="007358EA"/>
    <w:rsid w:val="007361B0"/>
    <w:rsid w:val="007361B4"/>
    <w:rsid w:val="007367EF"/>
    <w:rsid w:val="00736C0F"/>
    <w:rsid w:val="007419FF"/>
    <w:rsid w:val="00741B18"/>
    <w:rsid w:val="0074494D"/>
    <w:rsid w:val="0074551A"/>
    <w:rsid w:val="007458D2"/>
    <w:rsid w:val="007460D0"/>
    <w:rsid w:val="0074678B"/>
    <w:rsid w:val="007518A6"/>
    <w:rsid w:val="0075302A"/>
    <w:rsid w:val="0075330F"/>
    <w:rsid w:val="00755288"/>
    <w:rsid w:val="007553BF"/>
    <w:rsid w:val="0075568A"/>
    <w:rsid w:val="007571CD"/>
    <w:rsid w:val="007605B7"/>
    <w:rsid w:val="00763008"/>
    <w:rsid w:val="0076349A"/>
    <w:rsid w:val="00767009"/>
    <w:rsid w:val="007705B6"/>
    <w:rsid w:val="007707A6"/>
    <w:rsid w:val="00772290"/>
    <w:rsid w:val="00773668"/>
    <w:rsid w:val="00775F99"/>
    <w:rsid w:val="00776A6F"/>
    <w:rsid w:val="0078129D"/>
    <w:rsid w:val="0078158A"/>
    <w:rsid w:val="00784308"/>
    <w:rsid w:val="007864DA"/>
    <w:rsid w:val="007868C6"/>
    <w:rsid w:val="00786A48"/>
    <w:rsid w:val="00786D1E"/>
    <w:rsid w:val="00787103"/>
    <w:rsid w:val="00787D5B"/>
    <w:rsid w:val="00791EBE"/>
    <w:rsid w:val="00792586"/>
    <w:rsid w:val="007934D1"/>
    <w:rsid w:val="00795810"/>
    <w:rsid w:val="00795AA8"/>
    <w:rsid w:val="00795B88"/>
    <w:rsid w:val="007962FB"/>
    <w:rsid w:val="0079770F"/>
    <w:rsid w:val="007A0A11"/>
    <w:rsid w:val="007A1334"/>
    <w:rsid w:val="007A13E5"/>
    <w:rsid w:val="007A1A1C"/>
    <w:rsid w:val="007A21B9"/>
    <w:rsid w:val="007A2878"/>
    <w:rsid w:val="007A2ABE"/>
    <w:rsid w:val="007A341B"/>
    <w:rsid w:val="007A36ED"/>
    <w:rsid w:val="007A4AB2"/>
    <w:rsid w:val="007A6302"/>
    <w:rsid w:val="007A644E"/>
    <w:rsid w:val="007A6ED1"/>
    <w:rsid w:val="007A70D5"/>
    <w:rsid w:val="007A7267"/>
    <w:rsid w:val="007B13C7"/>
    <w:rsid w:val="007B1F1A"/>
    <w:rsid w:val="007B2759"/>
    <w:rsid w:val="007B2D64"/>
    <w:rsid w:val="007B40E6"/>
    <w:rsid w:val="007B4899"/>
    <w:rsid w:val="007B4BAC"/>
    <w:rsid w:val="007B52C7"/>
    <w:rsid w:val="007B5FB6"/>
    <w:rsid w:val="007C02A1"/>
    <w:rsid w:val="007C1FFC"/>
    <w:rsid w:val="007C24E4"/>
    <w:rsid w:val="007C3F5A"/>
    <w:rsid w:val="007C3FD5"/>
    <w:rsid w:val="007C774C"/>
    <w:rsid w:val="007D0614"/>
    <w:rsid w:val="007D42EE"/>
    <w:rsid w:val="007D4936"/>
    <w:rsid w:val="007D49C6"/>
    <w:rsid w:val="007D69A9"/>
    <w:rsid w:val="007D6CE3"/>
    <w:rsid w:val="007E0163"/>
    <w:rsid w:val="007E0DDB"/>
    <w:rsid w:val="007E19B1"/>
    <w:rsid w:val="007E2A2C"/>
    <w:rsid w:val="007E3B39"/>
    <w:rsid w:val="007E466C"/>
    <w:rsid w:val="007E4BEA"/>
    <w:rsid w:val="007E4C51"/>
    <w:rsid w:val="007E5FE6"/>
    <w:rsid w:val="007E61AA"/>
    <w:rsid w:val="007E6231"/>
    <w:rsid w:val="007E676F"/>
    <w:rsid w:val="007E74A7"/>
    <w:rsid w:val="007E7689"/>
    <w:rsid w:val="007E78B3"/>
    <w:rsid w:val="007F06ED"/>
    <w:rsid w:val="007F1D09"/>
    <w:rsid w:val="007F228E"/>
    <w:rsid w:val="007F37F8"/>
    <w:rsid w:val="007F6A4E"/>
    <w:rsid w:val="007F78C8"/>
    <w:rsid w:val="007F7F76"/>
    <w:rsid w:val="008004EA"/>
    <w:rsid w:val="0080204E"/>
    <w:rsid w:val="00802BE5"/>
    <w:rsid w:val="00804A0E"/>
    <w:rsid w:val="00804FAD"/>
    <w:rsid w:val="00805481"/>
    <w:rsid w:val="008067FE"/>
    <w:rsid w:val="00806938"/>
    <w:rsid w:val="00806A3C"/>
    <w:rsid w:val="00810B50"/>
    <w:rsid w:val="00810C85"/>
    <w:rsid w:val="00812329"/>
    <w:rsid w:val="008139B5"/>
    <w:rsid w:val="00815B48"/>
    <w:rsid w:val="008162BF"/>
    <w:rsid w:val="00816317"/>
    <w:rsid w:val="00816A9D"/>
    <w:rsid w:val="008176FD"/>
    <w:rsid w:val="00817EBB"/>
    <w:rsid w:val="00822101"/>
    <w:rsid w:val="00822A54"/>
    <w:rsid w:val="008232EF"/>
    <w:rsid w:val="008245AF"/>
    <w:rsid w:val="00824D65"/>
    <w:rsid w:val="008258A1"/>
    <w:rsid w:val="00826C73"/>
    <w:rsid w:val="00827192"/>
    <w:rsid w:val="008272F8"/>
    <w:rsid w:val="0082787E"/>
    <w:rsid w:val="008278BE"/>
    <w:rsid w:val="00827937"/>
    <w:rsid w:val="00830A1C"/>
    <w:rsid w:val="0083140E"/>
    <w:rsid w:val="00831740"/>
    <w:rsid w:val="00831779"/>
    <w:rsid w:val="00831E92"/>
    <w:rsid w:val="00833BCD"/>
    <w:rsid w:val="00836302"/>
    <w:rsid w:val="00840AB5"/>
    <w:rsid w:val="00841254"/>
    <w:rsid w:val="00844C2C"/>
    <w:rsid w:val="008457B8"/>
    <w:rsid w:val="00845CB4"/>
    <w:rsid w:val="00845D58"/>
    <w:rsid w:val="0084689A"/>
    <w:rsid w:val="00846CB8"/>
    <w:rsid w:val="00852355"/>
    <w:rsid w:val="00852A7B"/>
    <w:rsid w:val="0085477E"/>
    <w:rsid w:val="00856210"/>
    <w:rsid w:val="008566BE"/>
    <w:rsid w:val="008571CF"/>
    <w:rsid w:val="00857229"/>
    <w:rsid w:val="00857B51"/>
    <w:rsid w:val="00857C49"/>
    <w:rsid w:val="00861C8C"/>
    <w:rsid w:val="00863343"/>
    <w:rsid w:val="00863A4A"/>
    <w:rsid w:val="00863DF3"/>
    <w:rsid w:val="00865735"/>
    <w:rsid w:val="00866E9A"/>
    <w:rsid w:val="00867B36"/>
    <w:rsid w:val="0087035D"/>
    <w:rsid w:val="0087082D"/>
    <w:rsid w:val="0087083F"/>
    <w:rsid w:val="008713BD"/>
    <w:rsid w:val="008718B8"/>
    <w:rsid w:val="008728F1"/>
    <w:rsid w:val="00873977"/>
    <w:rsid w:val="00874E80"/>
    <w:rsid w:val="008761E0"/>
    <w:rsid w:val="008764B9"/>
    <w:rsid w:val="00876CDA"/>
    <w:rsid w:val="00877FD4"/>
    <w:rsid w:val="008802A8"/>
    <w:rsid w:val="00880A63"/>
    <w:rsid w:val="00882B9C"/>
    <w:rsid w:val="00883D94"/>
    <w:rsid w:val="00883DA5"/>
    <w:rsid w:val="00885918"/>
    <w:rsid w:val="008929B5"/>
    <w:rsid w:val="00892F58"/>
    <w:rsid w:val="0089628A"/>
    <w:rsid w:val="008A3E5E"/>
    <w:rsid w:val="008A46B5"/>
    <w:rsid w:val="008A4FE1"/>
    <w:rsid w:val="008A7B8C"/>
    <w:rsid w:val="008B1610"/>
    <w:rsid w:val="008B2E96"/>
    <w:rsid w:val="008B3E0C"/>
    <w:rsid w:val="008B4EA8"/>
    <w:rsid w:val="008B4FE9"/>
    <w:rsid w:val="008B5526"/>
    <w:rsid w:val="008B609D"/>
    <w:rsid w:val="008C0666"/>
    <w:rsid w:val="008C0B9D"/>
    <w:rsid w:val="008C0DEF"/>
    <w:rsid w:val="008C2307"/>
    <w:rsid w:val="008C2603"/>
    <w:rsid w:val="008C32CC"/>
    <w:rsid w:val="008C5CE0"/>
    <w:rsid w:val="008C62ED"/>
    <w:rsid w:val="008C7B3E"/>
    <w:rsid w:val="008D05E5"/>
    <w:rsid w:val="008D0C28"/>
    <w:rsid w:val="008D1213"/>
    <w:rsid w:val="008D1A55"/>
    <w:rsid w:val="008D1C6B"/>
    <w:rsid w:val="008D3774"/>
    <w:rsid w:val="008D43B4"/>
    <w:rsid w:val="008D454D"/>
    <w:rsid w:val="008D50F0"/>
    <w:rsid w:val="008D5E30"/>
    <w:rsid w:val="008D6138"/>
    <w:rsid w:val="008D65BD"/>
    <w:rsid w:val="008E036B"/>
    <w:rsid w:val="008E06F2"/>
    <w:rsid w:val="008E11E7"/>
    <w:rsid w:val="008E1748"/>
    <w:rsid w:val="008E274B"/>
    <w:rsid w:val="008E279A"/>
    <w:rsid w:val="008E3863"/>
    <w:rsid w:val="008E386F"/>
    <w:rsid w:val="008E6AD9"/>
    <w:rsid w:val="008F0D62"/>
    <w:rsid w:val="008F2086"/>
    <w:rsid w:val="008F2883"/>
    <w:rsid w:val="008F4C90"/>
    <w:rsid w:val="008F4FE1"/>
    <w:rsid w:val="008F7DA7"/>
    <w:rsid w:val="009022F8"/>
    <w:rsid w:val="009025F3"/>
    <w:rsid w:val="00902D27"/>
    <w:rsid w:val="00902E82"/>
    <w:rsid w:val="00906123"/>
    <w:rsid w:val="00906513"/>
    <w:rsid w:val="00906973"/>
    <w:rsid w:val="00907CD9"/>
    <w:rsid w:val="0091005E"/>
    <w:rsid w:val="009104C2"/>
    <w:rsid w:val="00911A9F"/>
    <w:rsid w:val="00913393"/>
    <w:rsid w:val="00913593"/>
    <w:rsid w:val="00914BB7"/>
    <w:rsid w:val="009152EB"/>
    <w:rsid w:val="00915839"/>
    <w:rsid w:val="00915975"/>
    <w:rsid w:val="00915983"/>
    <w:rsid w:val="00915B8B"/>
    <w:rsid w:val="009162C9"/>
    <w:rsid w:val="009175A1"/>
    <w:rsid w:val="00917D64"/>
    <w:rsid w:val="0092017A"/>
    <w:rsid w:val="009202C5"/>
    <w:rsid w:val="00923E0E"/>
    <w:rsid w:val="00923EEA"/>
    <w:rsid w:val="0092603E"/>
    <w:rsid w:val="009274C9"/>
    <w:rsid w:val="00927968"/>
    <w:rsid w:val="00930809"/>
    <w:rsid w:val="00931AB2"/>
    <w:rsid w:val="009326F7"/>
    <w:rsid w:val="00934002"/>
    <w:rsid w:val="0093419A"/>
    <w:rsid w:val="0093423D"/>
    <w:rsid w:val="00936B26"/>
    <w:rsid w:val="00937111"/>
    <w:rsid w:val="009428C6"/>
    <w:rsid w:val="00946753"/>
    <w:rsid w:val="00946D83"/>
    <w:rsid w:val="00947132"/>
    <w:rsid w:val="0094783B"/>
    <w:rsid w:val="00951773"/>
    <w:rsid w:val="009537A8"/>
    <w:rsid w:val="00954468"/>
    <w:rsid w:val="0095591F"/>
    <w:rsid w:val="00956361"/>
    <w:rsid w:val="00956E94"/>
    <w:rsid w:val="0096037F"/>
    <w:rsid w:val="009620C2"/>
    <w:rsid w:val="00962E36"/>
    <w:rsid w:val="009633C8"/>
    <w:rsid w:val="00963740"/>
    <w:rsid w:val="00963A9B"/>
    <w:rsid w:val="00964349"/>
    <w:rsid w:val="00966077"/>
    <w:rsid w:val="00966254"/>
    <w:rsid w:val="009662F2"/>
    <w:rsid w:val="009707C6"/>
    <w:rsid w:val="00971618"/>
    <w:rsid w:val="00972CD4"/>
    <w:rsid w:val="00972FEE"/>
    <w:rsid w:val="00975289"/>
    <w:rsid w:val="009764B4"/>
    <w:rsid w:val="00977770"/>
    <w:rsid w:val="0098136D"/>
    <w:rsid w:val="0098486D"/>
    <w:rsid w:val="00985A88"/>
    <w:rsid w:val="00985E1B"/>
    <w:rsid w:val="00986C34"/>
    <w:rsid w:val="00987940"/>
    <w:rsid w:val="00987F42"/>
    <w:rsid w:val="0099131F"/>
    <w:rsid w:val="00991596"/>
    <w:rsid w:val="00992856"/>
    <w:rsid w:val="0099368C"/>
    <w:rsid w:val="00994151"/>
    <w:rsid w:val="00995298"/>
    <w:rsid w:val="00995547"/>
    <w:rsid w:val="0099675A"/>
    <w:rsid w:val="00996825"/>
    <w:rsid w:val="00997405"/>
    <w:rsid w:val="0099740B"/>
    <w:rsid w:val="00997F76"/>
    <w:rsid w:val="009A1DBF"/>
    <w:rsid w:val="009A372F"/>
    <w:rsid w:val="009A6D96"/>
    <w:rsid w:val="009A7C2F"/>
    <w:rsid w:val="009B0334"/>
    <w:rsid w:val="009B0821"/>
    <w:rsid w:val="009B0DD8"/>
    <w:rsid w:val="009B10AF"/>
    <w:rsid w:val="009B161F"/>
    <w:rsid w:val="009B2A9F"/>
    <w:rsid w:val="009B4B0B"/>
    <w:rsid w:val="009B4B56"/>
    <w:rsid w:val="009B6B8C"/>
    <w:rsid w:val="009C078C"/>
    <w:rsid w:val="009C0B4C"/>
    <w:rsid w:val="009C1A31"/>
    <w:rsid w:val="009C30B1"/>
    <w:rsid w:val="009C4D68"/>
    <w:rsid w:val="009C4FFB"/>
    <w:rsid w:val="009C6C54"/>
    <w:rsid w:val="009D2BFB"/>
    <w:rsid w:val="009D4DB6"/>
    <w:rsid w:val="009D635E"/>
    <w:rsid w:val="009E1BE8"/>
    <w:rsid w:val="009E1DB8"/>
    <w:rsid w:val="009E2B70"/>
    <w:rsid w:val="009E2D6B"/>
    <w:rsid w:val="009E2F8E"/>
    <w:rsid w:val="009E3833"/>
    <w:rsid w:val="009E5472"/>
    <w:rsid w:val="009E6497"/>
    <w:rsid w:val="009E6DEC"/>
    <w:rsid w:val="009F02C4"/>
    <w:rsid w:val="009F0702"/>
    <w:rsid w:val="009F1376"/>
    <w:rsid w:val="009F2294"/>
    <w:rsid w:val="009F3D9B"/>
    <w:rsid w:val="009F70B3"/>
    <w:rsid w:val="009F70EC"/>
    <w:rsid w:val="009F780B"/>
    <w:rsid w:val="00A00D53"/>
    <w:rsid w:val="00A01AF7"/>
    <w:rsid w:val="00A01B64"/>
    <w:rsid w:val="00A02146"/>
    <w:rsid w:val="00A025CF"/>
    <w:rsid w:val="00A033C3"/>
    <w:rsid w:val="00A05251"/>
    <w:rsid w:val="00A053FF"/>
    <w:rsid w:val="00A05553"/>
    <w:rsid w:val="00A064C2"/>
    <w:rsid w:val="00A06DDF"/>
    <w:rsid w:val="00A07114"/>
    <w:rsid w:val="00A120DC"/>
    <w:rsid w:val="00A13EAC"/>
    <w:rsid w:val="00A155A1"/>
    <w:rsid w:val="00A16312"/>
    <w:rsid w:val="00A16366"/>
    <w:rsid w:val="00A1648A"/>
    <w:rsid w:val="00A16829"/>
    <w:rsid w:val="00A1697C"/>
    <w:rsid w:val="00A20F43"/>
    <w:rsid w:val="00A22046"/>
    <w:rsid w:val="00A24228"/>
    <w:rsid w:val="00A24AA0"/>
    <w:rsid w:val="00A25DD9"/>
    <w:rsid w:val="00A26726"/>
    <w:rsid w:val="00A267C7"/>
    <w:rsid w:val="00A2798C"/>
    <w:rsid w:val="00A27BB3"/>
    <w:rsid w:val="00A30E31"/>
    <w:rsid w:val="00A32576"/>
    <w:rsid w:val="00A32BAC"/>
    <w:rsid w:val="00A32F50"/>
    <w:rsid w:val="00A33618"/>
    <w:rsid w:val="00A33B98"/>
    <w:rsid w:val="00A33D9F"/>
    <w:rsid w:val="00A3468A"/>
    <w:rsid w:val="00A3500D"/>
    <w:rsid w:val="00A35097"/>
    <w:rsid w:val="00A3538C"/>
    <w:rsid w:val="00A35776"/>
    <w:rsid w:val="00A401F7"/>
    <w:rsid w:val="00A404D8"/>
    <w:rsid w:val="00A409FF"/>
    <w:rsid w:val="00A41133"/>
    <w:rsid w:val="00A419A5"/>
    <w:rsid w:val="00A43513"/>
    <w:rsid w:val="00A43A26"/>
    <w:rsid w:val="00A43B71"/>
    <w:rsid w:val="00A441E1"/>
    <w:rsid w:val="00A45524"/>
    <w:rsid w:val="00A4592B"/>
    <w:rsid w:val="00A45D64"/>
    <w:rsid w:val="00A47144"/>
    <w:rsid w:val="00A471FE"/>
    <w:rsid w:val="00A47855"/>
    <w:rsid w:val="00A47AAC"/>
    <w:rsid w:val="00A51289"/>
    <w:rsid w:val="00A519EC"/>
    <w:rsid w:val="00A5297B"/>
    <w:rsid w:val="00A54B1C"/>
    <w:rsid w:val="00A54E82"/>
    <w:rsid w:val="00A554E2"/>
    <w:rsid w:val="00A55F80"/>
    <w:rsid w:val="00A568E5"/>
    <w:rsid w:val="00A57803"/>
    <w:rsid w:val="00A6012F"/>
    <w:rsid w:val="00A61B38"/>
    <w:rsid w:val="00A61C4A"/>
    <w:rsid w:val="00A63381"/>
    <w:rsid w:val="00A6397F"/>
    <w:rsid w:val="00A646EE"/>
    <w:rsid w:val="00A65511"/>
    <w:rsid w:val="00A6638E"/>
    <w:rsid w:val="00A67DA2"/>
    <w:rsid w:val="00A70307"/>
    <w:rsid w:val="00A708A7"/>
    <w:rsid w:val="00A73558"/>
    <w:rsid w:val="00A7446B"/>
    <w:rsid w:val="00A74D5F"/>
    <w:rsid w:val="00A74D62"/>
    <w:rsid w:val="00A74EFC"/>
    <w:rsid w:val="00A76BC4"/>
    <w:rsid w:val="00A80995"/>
    <w:rsid w:val="00A82604"/>
    <w:rsid w:val="00A82606"/>
    <w:rsid w:val="00A8530C"/>
    <w:rsid w:val="00A872AA"/>
    <w:rsid w:val="00A96867"/>
    <w:rsid w:val="00A97518"/>
    <w:rsid w:val="00A9778F"/>
    <w:rsid w:val="00AA080A"/>
    <w:rsid w:val="00AA0896"/>
    <w:rsid w:val="00AA08C0"/>
    <w:rsid w:val="00AA1326"/>
    <w:rsid w:val="00AA1C16"/>
    <w:rsid w:val="00AA4326"/>
    <w:rsid w:val="00AA52D7"/>
    <w:rsid w:val="00AA67E9"/>
    <w:rsid w:val="00AA6E3E"/>
    <w:rsid w:val="00AB123B"/>
    <w:rsid w:val="00AB2077"/>
    <w:rsid w:val="00AB5651"/>
    <w:rsid w:val="00AB6248"/>
    <w:rsid w:val="00AB6C7A"/>
    <w:rsid w:val="00AB6CA7"/>
    <w:rsid w:val="00AB6D6A"/>
    <w:rsid w:val="00AB704F"/>
    <w:rsid w:val="00AB792C"/>
    <w:rsid w:val="00AB7DBD"/>
    <w:rsid w:val="00AB7F29"/>
    <w:rsid w:val="00AC07B5"/>
    <w:rsid w:val="00AC0849"/>
    <w:rsid w:val="00AC160E"/>
    <w:rsid w:val="00AC1A27"/>
    <w:rsid w:val="00AC1CB8"/>
    <w:rsid w:val="00AC2A30"/>
    <w:rsid w:val="00AC30CB"/>
    <w:rsid w:val="00AC3457"/>
    <w:rsid w:val="00AC766C"/>
    <w:rsid w:val="00AC78DE"/>
    <w:rsid w:val="00AD01F9"/>
    <w:rsid w:val="00AD0E27"/>
    <w:rsid w:val="00AD283D"/>
    <w:rsid w:val="00AD2D68"/>
    <w:rsid w:val="00AD416F"/>
    <w:rsid w:val="00AD52E6"/>
    <w:rsid w:val="00AD623B"/>
    <w:rsid w:val="00AD657F"/>
    <w:rsid w:val="00AE2107"/>
    <w:rsid w:val="00AE31E1"/>
    <w:rsid w:val="00AE434F"/>
    <w:rsid w:val="00AE46FA"/>
    <w:rsid w:val="00AE4CA6"/>
    <w:rsid w:val="00AE5314"/>
    <w:rsid w:val="00AE681F"/>
    <w:rsid w:val="00AE6B8D"/>
    <w:rsid w:val="00AE6F93"/>
    <w:rsid w:val="00AF02DE"/>
    <w:rsid w:val="00AF10DE"/>
    <w:rsid w:val="00AF2D67"/>
    <w:rsid w:val="00AF4BCC"/>
    <w:rsid w:val="00AF5F2C"/>
    <w:rsid w:val="00AF66AA"/>
    <w:rsid w:val="00AF6900"/>
    <w:rsid w:val="00B009BB"/>
    <w:rsid w:val="00B01AD1"/>
    <w:rsid w:val="00B066AE"/>
    <w:rsid w:val="00B07773"/>
    <w:rsid w:val="00B103F6"/>
    <w:rsid w:val="00B11105"/>
    <w:rsid w:val="00B124F6"/>
    <w:rsid w:val="00B12A8D"/>
    <w:rsid w:val="00B1419C"/>
    <w:rsid w:val="00B141F3"/>
    <w:rsid w:val="00B17171"/>
    <w:rsid w:val="00B17209"/>
    <w:rsid w:val="00B17969"/>
    <w:rsid w:val="00B17B9A"/>
    <w:rsid w:val="00B20844"/>
    <w:rsid w:val="00B221CC"/>
    <w:rsid w:val="00B23770"/>
    <w:rsid w:val="00B24B7A"/>
    <w:rsid w:val="00B25151"/>
    <w:rsid w:val="00B25359"/>
    <w:rsid w:val="00B26651"/>
    <w:rsid w:val="00B27D66"/>
    <w:rsid w:val="00B31AC6"/>
    <w:rsid w:val="00B32DEF"/>
    <w:rsid w:val="00B33AFD"/>
    <w:rsid w:val="00B34FB0"/>
    <w:rsid w:val="00B350C5"/>
    <w:rsid w:val="00B3578E"/>
    <w:rsid w:val="00B35D16"/>
    <w:rsid w:val="00B362DB"/>
    <w:rsid w:val="00B37B5C"/>
    <w:rsid w:val="00B37CA9"/>
    <w:rsid w:val="00B405A1"/>
    <w:rsid w:val="00B40EF3"/>
    <w:rsid w:val="00B41357"/>
    <w:rsid w:val="00B44ABE"/>
    <w:rsid w:val="00B44B88"/>
    <w:rsid w:val="00B44D1A"/>
    <w:rsid w:val="00B453AA"/>
    <w:rsid w:val="00B45423"/>
    <w:rsid w:val="00B46BA4"/>
    <w:rsid w:val="00B4737D"/>
    <w:rsid w:val="00B5071B"/>
    <w:rsid w:val="00B516DF"/>
    <w:rsid w:val="00B52B48"/>
    <w:rsid w:val="00B52EA4"/>
    <w:rsid w:val="00B52F66"/>
    <w:rsid w:val="00B530F9"/>
    <w:rsid w:val="00B53BCF"/>
    <w:rsid w:val="00B54979"/>
    <w:rsid w:val="00B54F18"/>
    <w:rsid w:val="00B55B62"/>
    <w:rsid w:val="00B569B2"/>
    <w:rsid w:val="00B56B19"/>
    <w:rsid w:val="00B57637"/>
    <w:rsid w:val="00B57A73"/>
    <w:rsid w:val="00B601DE"/>
    <w:rsid w:val="00B62F62"/>
    <w:rsid w:val="00B643F3"/>
    <w:rsid w:val="00B660E6"/>
    <w:rsid w:val="00B6703A"/>
    <w:rsid w:val="00B676E9"/>
    <w:rsid w:val="00B67DB8"/>
    <w:rsid w:val="00B71A13"/>
    <w:rsid w:val="00B71B97"/>
    <w:rsid w:val="00B72B41"/>
    <w:rsid w:val="00B7322D"/>
    <w:rsid w:val="00B73ACC"/>
    <w:rsid w:val="00B74280"/>
    <w:rsid w:val="00B77B86"/>
    <w:rsid w:val="00B80FC3"/>
    <w:rsid w:val="00B82167"/>
    <w:rsid w:val="00B82AF4"/>
    <w:rsid w:val="00B83098"/>
    <w:rsid w:val="00B83928"/>
    <w:rsid w:val="00B83B41"/>
    <w:rsid w:val="00B83E01"/>
    <w:rsid w:val="00B84887"/>
    <w:rsid w:val="00B849E1"/>
    <w:rsid w:val="00B84D77"/>
    <w:rsid w:val="00B850B3"/>
    <w:rsid w:val="00B8703E"/>
    <w:rsid w:val="00B87733"/>
    <w:rsid w:val="00B9185F"/>
    <w:rsid w:val="00B95300"/>
    <w:rsid w:val="00B95928"/>
    <w:rsid w:val="00B97D01"/>
    <w:rsid w:val="00BA141A"/>
    <w:rsid w:val="00BA2039"/>
    <w:rsid w:val="00BA2B38"/>
    <w:rsid w:val="00BA31CD"/>
    <w:rsid w:val="00BA3FB6"/>
    <w:rsid w:val="00BA63A2"/>
    <w:rsid w:val="00BB1CF4"/>
    <w:rsid w:val="00BB314F"/>
    <w:rsid w:val="00BB4C75"/>
    <w:rsid w:val="00BB4FD5"/>
    <w:rsid w:val="00BB541C"/>
    <w:rsid w:val="00BB7068"/>
    <w:rsid w:val="00BB7174"/>
    <w:rsid w:val="00BB7267"/>
    <w:rsid w:val="00BC0951"/>
    <w:rsid w:val="00BC162C"/>
    <w:rsid w:val="00BC1D67"/>
    <w:rsid w:val="00BC2322"/>
    <w:rsid w:val="00BC255B"/>
    <w:rsid w:val="00BC2984"/>
    <w:rsid w:val="00BC3699"/>
    <w:rsid w:val="00BC4077"/>
    <w:rsid w:val="00BC4E94"/>
    <w:rsid w:val="00BC5036"/>
    <w:rsid w:val="00BC5992"/>
    <w:rsid w:val="00BC59E5"/>
    <w:rsid w:val="00BC5C7E"/>
    <w:rsid w:val="00BC6CF9"/>
    <w:rsid w:val="00BD00D3"/>
    <w:rsid w:val="00BD051A"/>
    <w:rsid w:val="00BD21DB"/>
    <w:rsid w:val="00BD3446"/>
    <w:rsid w:val="00BD481D"/>
    <w:rsid w:val="00BD4926"/>
    <w:rsid w:val="00BD4A2D"/>
    <w:rsid w:val="00BD56B3"/>
    <w:rsid w:val="00BD7980"/>
    <w:rsid w:val="00BE132F"/>
    <w:rsid w:val="00BE21E2"/>
    <w:rsid w:val="00BE2768"/>
    <w:rsid w:val="00BE3329"/>
    <w:rsid w:val="00BE3732"/>
    <w:rsid w:val="00BE421A"/>
    <w:rsid w:val="00BE70E6"/>
    <w:rsid w:val="00BE7419"/>
    <w:rsid w:val="00BE7B4B"/>
    <w:rsid w:val="00BE7C80"/>
    <w:rsid w:val="00BF0270"/>
    <w:rsid w:val="00BF0E34"/>
    <w:rsid w:val="00BF16B6"/>
    <w:rsid w:val="00BF16E5"/>
    <w:rsid w:val="00BF338D"/>
    <w:rsid w:val="00BF45DD"/>
    <w:rsid w:val="00BF486A"/>
    <w:rsid w:val="00BF4AEA"/>
    <w:rsid w:val="00BF545B"/>
    <w:rsid w:val="00BF55C7"/>
    <w:rsid w:val="00BF5727"/>
    <w:rsid w:val="00BF599E"/>
    <w:rsid w:val="00BF6344"/>
    <w:rsid w:val="00BF65C2"/>
    <w:rsid w:val="00C00403"/>
    <w:rsid w:val="00C01C38"/>
    <w:rsid w:val="00C01D38"/>
    <w:rsid w:val="00C02BA8"/>
    <w:rsid w:val="00C0420D"/>
    <w:rsid w:val="00C0468C"/>
    <w:rsid w:val="00C04745"/>
    <w:rsid w:val="00C05257"/>
    <w:rsid w:val="00C11C09"/>
    <w:rsid w:val="00C1339A"/>
    <w:rsid w:val="00C13B14"/>
    <w:rsid w:val="00C148A4"/>
    <w:rsid w:val="00C15EC1"/>
    <w:rsid w:val="00C17576"/>
    <w:rsid w:val="00C20173"/>
    <w:rsid w:val="00C216EE"/>
    <w:rsid w:val="00C21C78"/>
    <w:rsid w:val="00C236B3"/>
    <w:rsid w:val="00C2636D"/>
    <w:rsid w:val="00C27AEA"/>
    <w:rsid w:val="00C302BB"/>
    <w:rsid w:val="00C302D1"/>
    <w:rsid w:val="00C316C2"/>
    <w:rsid w:val="00C353F8"/>
    <w:rsid w:val="00C35C08"/>
    <w:rsid w:val="00C41F6A"/>
    <w:rsid w:val="00C42EB7"/>
    <w:rsid w:val="00C432FA"/>
    <w:rsid w:val="00C43FDF"/>
    <w:rsid w:val="00C452E7"/>
    <w:rsid w:val="00C45C64"/>
    <w:rsid w:val="00C4622C"/>
    <w:rsid w:val="00C462DE"/>
    <w:rsid w:val="00C46542"/>
    <w:rsid w:val="00C465B4"/>
    <w:rsid w:val="00C471C3"/>
    <w:rsid w:val="00C502B3"/>
    <w:rsid w:val="00C518A3"/>
    <w:rsid w:val="00C518DF"/>
    <w:rsid w:val="00C51AB1"/>
    <w:rsid w:val="00C521DF"/>
    <w:rsid w:val="00C529A8"/>
    <w:rsid w:val="00C52EB7"/>
    <w:rsid w:val="00C5403A"/>
    <w:rsid w:val="00C5452B"/>
    <w:rsid w:val="00C5592B"/>
    <w:rsid w:val="00C55DA9"/>
    <w:rsid w:val="00C57C05"/>
    <w:rsid w:val="00C57D12"/>
    <w:rsid w:val="00C60754"/>
    <w:rsid w:val="00C6082B"/>
    <w:rsid w:val="00C62697"/>
    <w:rsid w:val="00C62FDF"/>
    <w:rsid w:val="00C630A6"/>
    <w:rsid w:val="00C63295"/>
    <w:rsid w:val="00C64A8C"/>
    <w:rsid w:val="00C64DB0"/>
    <w:rsid w:val="00C65A54"/>
    <w:rsid w:val="00C67103"/>
    <w:rsid w:val="00C711BF"/>
    <w:rsid w:val="00C7352F"/>
    <w:rsid w:val="00C74758"/>
    <w:rsid w:val="00C74C94"/>
    <w:rsid w:val="00C75221"/>
    <w:rsid w:val="00C75DC6"/>
    <w:rsid w:val="00C75F3B"/>
    <w:rsid w:val="00C765B3"/>
    <w:rsid w:val="00C76F4F"/>
    <w:rsid w:val="00C77D67"/>
    <w:rsid w:val="00C814C7"/>
    <w:rsid w:val="00C81D15"/>
    <w:rsid w:val="00C827C3"/>
    <w:rsid w:val="00C82C0D"/>
    <w:rsid w:val="00C82F1D"/>
    <w:rsid w:val="00C83EFA"/>
    <w:rsid w:val="00C8434B"/>
    <w:rsid w:val="00C84C54"/>
    <w:rsid w:val="00C85018"/>
    <w:rsid w:val="00C85BDA"/>
    <w:rsid w:val="00C9333F"/>
    <w:rsid w:val="00C94E37"/>
    <w:rsid w:val="00C95877"/>
    <w:rsid w:val="00C95F15"/>
    <w:rsid w:val="00C960E2"/>
    <w:rsid w:val="00C96548"/>
    <w:rsid w:val="00CA2864"/>
    <w:rsid w:val="00CA30D7"/>
    <w:rsid w:val="00CA37E2"/>
    <w:rsid w:val="00CA5363"/>
    <w:rsid w:val="00CA5764"/>
    <w:rsid w:val="00CA71C4"/>
    <w:rsid w:val="00CB09C0"/>
    <w:rsid w:val="00CB1034"/>
    <w:rsid w:val="00CB1D60"/>
    <w:rsid w:val="00CB54B8"/>
    <w:rsid w:val="00CB749A"/>
    <w:rsid w:val="00CC034B"/>
    <w:rsid w:val="00CC1834"/>
    <w:rsid w:val="00CC45E7"/>
    <w:rsid w:val="00CC548C"/>
    <w:rsid w:val="00CC61E1"/>
    <w:rsid w:val="00CC6428"/>
    <w:rsid w:val="00CC7911"/>
    <w:rsid w:val="00CC7C14"/>
    <w:rsid w:val="00CD01F0"/>
    <w:rsid w:val="00CD40A7"/>
    <w:rsid w:val="00CD4521"/>
    <w:rsid w:val="00CD4898"/>
    <w:rsid w:val="00CD4944"/>
    <w:rsid w:val="00CD7A50"/>
    <w:rsid w:val="00CE2186"/>
    <w:rsid w:val="00CE262D"/>
    <w:rsid w:val="00CE276B"/>
    <w:rsid w:val="00CE4CA7"/>
    <w:rsid w:val="00CE60C8"/>
    <w:rsid w:val="00CE610B"/>
    <w:rsid w:val="00CE71F8"/>
    <w:rsid w:val="00CF0D0B"/>
    <w:rsid w:val="00CF109F"/>
    <w:rsid w:val="00CF1394"/>
    <w:rsid w:val="00CF159A"/>
    <w:rsid w:val="00CF1A0E"/>
    <w:rsid w:val="00CF1B95"/>
    <w:rsid w:val="00CF26F4"/>
    <w:rsid w:val="00CF2CAC"/>
    <w:rsid w:val="00CF363F"/>
    <w:rsid w:val="00CF3DA4"/>
    <w:rsid w:val="00CF4240"/>
    <w:rsid w:val="00CF4321"/>
    <w:rsid w:val="00D01562"/>
    <w:rsid w:val="00D0188F"/>
    <w:rsid w:val="00D03E14"/>
    <w:rsid w:val="00D040D9"/>
    <w:rsid w:val="00D0550F"/>
    <w:rsid w:val="00D0611F"/>
    <w:rsid w:val="00D07C8B"/>
    <w:rsid w:val="00D106EF"/>
    <w:rsid w:val="00D10F96"/>
    <w:rsid w:val="00D11DD4"/>
    <w:rsid w:val="00D12B5B"/>
    <w:rsid w:val="00D1310A"/>
    <w:rsid w:val="00D14947"/>
    <w:rsid w:val="00D153EA"/>
    <w:rsid w:val="00D1628C"/>
    <w:rsid w:val="00D16975"/>
    <w:rsid w:val="00D16FDE"/>
    <w:rsid w:val="00D177AB"/>
    <w:rsid w:val="00D204A0"/>
    <w:rsid w:val="00D23E0A"/>
    <w:rsid w:val="00D24946"/>
    <w:rsid w:val="00D2544F"/>
    <w:rsid w:val="00D254AF"/>
    <w:rsid w:val="00D31335"/>
    <w:rsid w:val="00D31E7C"/>
    <w:rsid w:val="00D32063"/>
    <w:rsid w:val="00D3241E"/>
    <w:rsid w:val="00D3298C"/>
    <w:rsid w:val="00D35F1F"/>
    <w:rsid w:val="00D37722"/>
    <w:rsid w:val="00D40F2C"/>
    <w:rsid w:val="00D4129B"/>
    <w:rsid w:val="00D43225"/>
    <w:rsid w:val="00D4415E"/>
    <w:rsid w:val="00D44759"/>
    <w:rsid w:val="00D46251"/>
    <w:rsid w:val="00D50062"/>
    <w:rsid w:val="00D50565"/>
    <w:rsid w:val="00D5094E"/>
    <w:rsid w:val="00D518C9"/>
    <w:rsid w:val="00D53B03"/>
    <w:rsid w:val="00D53E7B"/>
    <w:rsid w:val="00D54FB5"/>
    <w:rsid w:val="00D55368"/>
    <w:rsid w:val="00D554B9"/>
    <w:rsid w:val="00D55F26"/>
    <w:rsid w:val="00D575B4"/>
    <w:rsid w:val="00D57A13"/>
    <w:rsid w:val="00D57C09"/>
    <w:rsid w:val="00D57C9B"/>
    <w:rsid w:val="00D60187"/>
    <w:rsid w:val="00D61DE0"/>
    <w:rsid w:val="00D6541E"/>
    <w:rsid w:val="00D65E1A"/>
    <w:rsid w:val="00D672F6"/>
    <w:rsid w:val="00D67F2B"/>
    <w:rsid w:val="00D700F0"/>
    <w:rsid w:val="00D70890"/>
    <w:rsid w:val="00D71F89"/>
    <w:rsid w:val="00D72825"/>
    <w:rsid w:val="00D73219"/>
    <w:rsid w:val="00D73EE7"/>
    <w:rsid w:val="00D7487D"/>
    <w:rsid w:val="00D80B47"/>
    <w:rsid w:val="00D81CEF"/>
    <w:rsid w:val="00D830A7"/>
    <w:rsid w:val="00D84697"/>
    <w:rsid w:val="00D84ED8"/>
    <w:rsid w:val="00D850FD"/>
    <w:rsid w:val="00D860B4"/>
    <w:rsid w:val="00D90494"/>
    <w:rsid w:val="00D92948"/>
    <w:rsid w:val="00D944C8"/>
    <w:rsid w:val="00D969E4"/>
    <w:rsid w:val="00D9714C"/>
    <w:rsid w:val="00D97C24"/>
    <w:rsid w:val="00D97E7A"/>
    <w:rsid w:val="00DA0E87"/>
    <w:rsid w:val="00DA2E0A"/>
    <w:rsid w:val="00DA3AAA"/>
    <w:rsid w:val="00DA5451"/>
    <w:rsid w:val="00DA5805"/>
    <w:rsid w:val="00DA6075"/>
    <w:rsid w:val="00DA6991"/>
    <w:rsid w:val="00DA6E61"/>
    <w:rsid w:val="00DA7AE7"/>
    <w:rsid w:val="00DB0EFD"/>
    <w:rsid w:val="00DB3179"/>
    <w:rsid w:val="00DB3597"/>
    <w:rsid w:val="00DB3E02"/>
    <w:rsid w:val="00DB45C8"/>
    <w:rsid w:val="00DB4999"/>
    <w:rsid w:val="00DB5C7E"/>
    <w:rsid w:val="00DB67BF"/>
    <w:rsid w:val="00DB6A14"/>
    <w:rsid w:val="00DB6C77"/>
    <w:rsid w:val="00DC07B6"/>
    <w:rsid w:val="00DC1EE7"/>
    <w:rsid w:val="00DC1F05"/>
    <w:rsid w:val="00DC3168"/>
    <w:rsid w:val="00DC3E88"/>
    <w:rsid w:val="00DC5353"/>
    <w:rsid w:val="00DC5762"/>
    <w:rsid w:val="00DC5B9D"/>
    <w:rsid w:val="00DD162D"/>
    <w:rsid w:val="00DD5A2C"/>
    <w:rsid w:val="00DD5EE4"/>
    <w:rsid w:val="00DD6069"/>
    <w:rsid w:val="00DD6CE7"/>
    <w:rsid w:val="00DD7104"/>
    <w:rsid w:val="00DE0204"/>
    <w:rsid w:val="00DE0B0B"/>
    <w:rsid w:val="00DE12F8"/>
    <w:rsid w:val="00DE1D47"/>
    <w:rsid w:val="00DE394F"/>
    <w:rsid w:val="00DE3D95"/>
    <w:rsid w:val="00DE4BFF"/>
    <w:rsid w:val="00DE522D"/>
    <w:rsid w:val="00DE5560"/>
    <w:rsid w:val="00DE5E61"/>
    <w:rsid w:val="00DE62CD"/>
    <w:rsid w:val="00DE727F"/>
    <w:rsid w:val="00DF1374"/>
    <w:rsid w:val="00DF1581"/>
    <w:rsid w:val="00DF1C27"/>
    <w:rsid w:val="00DF220F"/>
    <w:rsid w:val="00DF27F5"/>
    <w:rsid w:val="00DF4005"/>
    <w:rsid w:val="00DF4506"/>
    <w:rsid w:val="00DF5D71"/>
    <w:rsid w:val="00DF6C2B"/>
    <w:rsid w:val="00DF6EEE"/>
    <w:rsid w:val="00DF7FA7"/>
    <w:rsid w:val="00E00488"/>
    <w:rsid w:val="00E03700"/>
    <w:rsid w:val="00E03B98"/>
    <w:rsid w:val="00E049EE"/>
    <w:rsid w:val="00E0519B"/>
    <w:rsid w:val="00E051EA"/>
    <w:rsid w:val="00E05804"/>
    <w:rsid w:val="00E05B6A"/>
    <w:rsid w:val="00E065C4"/>
    <w:rsid w:val="00E06E76"/>
    <w:rsid w:val="00E1154E"/>
    <w:rsid w:val="00E13239"/>
    <w:rsid w:val="00E14A30"/>
    <w:rsid w:val="00E163C1"/>
    <w:rsid w:val="00E20258"/>
    <w:rsid w:val="00E22BB0"/>
    <w:rsid w:val="00E22E74"/>
    <w:rsid w:val="00E23942"/>
    <w:rsid w:val="00E24D4F"/>
    <w:rsid w:val="00E2596C"/>
    <w:rsid w:val="00E25EF9"/>
    <w:rsid w:val="00E2632A"/>
    <w:rsid w:val="00E266CC"/>
    <w:rsid w:val="00E26A26"/>
    <w:rsid w:val="00E2796E"/>
    <w:rsid w:val="00E300D2"/>
    <w:rsid w:val="00E3369B"/>
    <w:rsid w:val="00E34686"/>
    <w:rsid w:val="00E3523D"/>
    <w:rsid w:val="00E35AE2"/>
    <w:rsid w:val="00E40668"/>
    <w:rsid w:val="00E41072"/>
    <w:rsid w:val="00E415BB"/>
    <w:rsid w:val="00E4181B"/>
    <w:rsid w:val="00E41C13"/>
    <w:rsid w:val="00E41ED7"/>
    <w:rsid w:val="00E42162"/>
    <w:rsid w:val="00E43320"/>
    <w:rsid w:val="00E43AA3"/>
    <w:rsid w:val="00E43C5B"/>
    <w:rsid w:val="00E43E86"/>
    <w:rsid w:val="00E441D3"/>
    <w:rsid w:val="00E45246"/>
    <w:rsid w:val="00E452EB"/>
    <w:rsid w:val="00E4620D"/>
    <w:rsid w:val="00E468AA"/>
    <w:rsid w:val="00E46ABC"/>
    <w:rsid w:val="00E47CA7"/>
    <w:rsid w:val="00E50C17"/>
    <w:rsid w:val="00E515A7"/>
    <w:rsid w:val="00E51683"/>
    <w:rsid w:val="00E54665"/>
    <w:rsid w:val="00E55F99"/>
    <w:rsid w:val="00E566B0"/>
    <w:rsid w:val="00E573E0"/>
    <w:rsid w:val="00E579F5"/>
    <w:rsid w:val="00E60DC8"/>
    <w:rsid w:val="00E6175B"/>
    <w:rsid w:val="00E6254D"/>
    <w:rsid w:val="00E6326E"/>
    <w:rsid w:val="00E638F3"/>
    <w:rsid w:val="00E64137"/>
    <w:rsid w:val="00E6669B"/>
    <w:rsid w:val="00E668CA"/>
    <w:rsid w:val="00E678E1"/>
    <w:rsid w:val="00E71213"/>
    <w:rsid w:val="00E717A5"/>
    <w:rsid w:val="00E71F9A"/>
    <w:rsid w:val="00E730F9"/>
    <w:rsid w:val="00E74176"/>
    <w:rsid w:val="00E75832"/>
    <w:rsid w:val="00E76F04"/>
    <w:rsid w:val="00E77ADC"/>
    <w:rsid w:val="00E80245"/>
    <w:rsid w:val="00E8109F"/>
    <w:rsid w:val="00E82120"/>
    <w:rsid w:val="00E82211"/>
    <w:rsid w:val="00E82444"/>
    <w:rsid w:val="00E83855"/>
    <w:rsid w:val="00E841A0"/>
    <w:rsid w:val="00E84AE7"/>
    <w:rsid w:val="00E8500F"/>
    <w:rsid w:val="00E8636A"/>
    <w:rsid w:val="00E91748"/>
    <w:rsid w:val="00E92796"/>
    <w:rsid w:val="00E93290"/>
    <w:rsid w:val="00E95257"/>
    <w:rsid w:val="00E95AAE"/>
    <w:rsid w:val="00E962C4"/>
    <w:rsid w:val="00EA1B1B"/>
    <w:rsid w:val="00EA1C7D"/>
    <w:rsid w:val="00EA1D5F"/>
    <w:rsid w:val="00EA1FBE"/>
    <w:rsid w:val="00EA32CC"/>
    <w:rsid w:val="00EA37C1"/>
    <w:rsid w:val="00EA54D8"/>
    <w:rsid w:val="00EA64B6"/>
    <w:rsid w:val="00EB0319"/>
    <w:rsid w:val="00EB0CBB"/>
    <w:rsid w:val="00EB194E"/>
    <w:rsid w:val="00EB39CB"/>
    <w:rsid w:val="00EB3E1D"/>
    <w:rsid w:val="00EB4803"/>
    <w:rsid w:val="00EB758E"/>
    <w:rsid w:val="00EB7B33"/>
    <w:rsid w:val="00EB7B41"/>
    <w:rsid w:val="00EC0389"/>
    <w:rsid w:val="00EC2C31"/>
    <w:rsid w:val="00EC4287"/>
    <w:rsid w:val="00EC471E"/>
    <w:rsid w:val="00EC61CD"/>
    <w:rsid w:val="00EC628D"/>
    <w:rsid w:val="00EC672E"/>
    <w:rsid w:val="00EC6BC4"/>
    <w:rsid w:val="00EC73D5"/>
    <w:rsid w:val="00ED1A95"/>
    <w:rsid w:val="00ED2689"/>
    <w:rsid w:val="00ED3871"/>
    <w:rsid w:val="00ED412C"/>
    <w:rsid w:val="00ED69F9"/>
    <w:rsid w:val="00ED6AF5"/>
    <w:rsid w:val="00ED7490"/>
    <w:rsid w:val="00EE1FFC"/>
    <w:rsid w:val="00EE24F6"/>
    <w:rsid w:val="00EE50A1"/>
    <w:rsid w:val="00EE52EA"/>
    <w:rsid w:val="00EE57B5"/>
    <w:rsid w:val="00EE671D"/>
    <w:rsid w:val="00EE7642"/>
    <w:rsid w:val="00EE792D"/>
    <w:rsid w:val="00EF0ED7"/>
    <w:rsid w:val="00EF18E6"/>
    <w:rsid w:val="00EF1EDA"/>
    <w:rsid w:val="00EF2B89"/>
    <w:rsid w:val="00EF3CCF"/>
    <w:rsid w:val="00EF4552"/>
    <w:rsid w:val="00EF4634"/>
    <w:rsid w:val="00EF62DF"/>
    <w:rsid w:val="00EF765B"/>
    <w:rsid w:val="00EF7D2D"/>
    <w:rsid w:val="00F0073B"/>
    <w:rsid w:val="00F02067"/>
    <w:rsid w:val="00F02833"/>
    <w:rsid w:val="00F0318A"/>
    <w:rsid w:val="00F03799"/>
    <w:rsid w:val="00F037CE"/>
    <w:rsid w:val="00F043B1"/>
    <w:rsid w:val="00F049FE"/>
    <w:rsid w:val="00F05327"/>
    <w:rsid w:val="00F05A38"/>
    <w:rsid w:val="00F05B10"/>
    <w:rsid w:val="00F05B31"/>
    <w:rsid w:val="00F064E3"/>
    <w:rsid w:val="00F07DB3"/>
    <w:rsid w:val="00F14C1F"/>
    <w:rsid w:val="00F15FBA"/>
    <w:rsid w:val="00F20462"/>
    <w:rsid w:val="00F20BC8"/>
    <w:rsid w:val="00F2148F"/>
    <w:rsid w:val="00F235FE"/>
    <w:rsid w:val="00F248BE"/>
    <w:rsid w:val="00F25792"/>
    <w:rsid w:val="00F2586B"/>
    <w:rsid w:val="00F2723F"/>
    <w:rsid w:val="00F300BE"/>
    <w:rsid w:val="00F304DF"/>
    <w:rsid w:val="00F305DF"/>
    <w:rsid w:val="00F31779"/>
    <w:rsid w:val="00F327BF"/>
    <w:rsid w:val="00F34259"/>
    <w:rsid w:val="00F3664C"/>
    <w:rsid w:val="00F36AD9"/>
    <w:rsid w:val="00F36B0B"/>
    <w:rsid w:val="00F37F5C"/>
    <w:rsid w:val="00F40372"/>
    <w:rsid w:val="00F41C89"/>
    <w:rsid w:val="00F4232E"/>
    <w:rsid w:val="00F4281A"/>
    <w:rsid w:val="00F432C1"/>
    <w:rsid w:val="00F43B20"/>
    <w:rsid w:val="00F44877"/>
    <w:rsid w:val="00F460FB"/>
    <w:rsid w:val="00F4612C"/>
    <w:rsid w:val="00F4639E"/>
    <w:rsid w:val="00F47B5F"/>
    <w:rsid w:val="00F52824"/>
    <w:rsid w:val="00F53F77"/>
    <w:rsid w:val="00F544E5"/>
    <w:rsid w:val="00F55FBC"/>
    <w:rsid w:val="00F602FF"/>
    <w:rsid w:val="00F603E7"/>
    <w:rsid w:val="00F607C7"/>
    <w:rsid w:val="00F6191B"/>
    <w:rsid w:val="00F640B0"/>
    <w:rsid w:val="00F67DBF"/>
    <w:rsid w:val="00F72909"/>
    <w:rsid w:val="00F74100"/>
    <w:rsid w:val="00F77651"/>
    <w:rsid w:val="00F77B80"/>
    <w:rsid w:val="00F807D4"/>
    <w:rsid w:val="00F80B1B"/>
    <w:rsid w:val="00F811A0"/>
    <w:rsid w:val="00F81D90"/>
    <w:rsid w:val="00F81F73"/>
    <w:rsid w:val="00F82EF2"/>
    <w:rsid w:val="00F831D7"/>
    <w:rsid w:val="00F85916"/>
    <w:rsid w:val="00F8676F"/>
    <w:rsid w:val="00F909F4"/>
    <w:rsid w:val="00F90D0A"/>
    <w:rsid w:val="00F92F11"/>
    <w:rsid w:val="00F92FD9"/>
    <w:rsid w:val="00F93593"/>
    <w:rsid w:val="00F9415B"/>
    <w:rsid w:val="00F975A3"/>
    <w:rsid w:val="00F975CE"/>
    <w:rsid w:val="00FA031D"/>
    <w:rsid w:val="00FA168A"/>
    <w:rsid w:val="00FA17BA"/>
    <w:rsid w:val="00FA26C5"/>
    <w:rsid w:val="00FA46D9"/>
    <w:rsid w:val="00FA4D17"/>
    <w:rsid w:val="00FA74D6"/>
    <w:rsid w:val="00FA78A1"/>
    <w:rsid w:val="00FA7970"/>
    <w:rsid w:val="00FB2E65"/>
    <w:rsid w:val="00FB303A"/>
    <w:rsid w:val="00FB33C6"/>
    <w:rsid w:val="00FB36D4"/>
    <w:rsid w:val="00FB3BD6"/>
    <w:rsid w:val="00FB3D6D"/>
    <w:rsid w:val="00FB509A"/>
    <w:rsid w:val="00FB5292"/>
    <w:rsid w:val="00FB5895"/>
    <w:rsid w:val="00FB6EA3"/>
    <w:rsid w:val="00FB76AD"/>
    <w:rsid w:val="00FC10B2"/>
    <w:rsid w:val="00FC1533"/>
    <w:rsid w:val="00FC3832"/>
    <w:rsid w:val="00FC60CE"/>
    <w:rsid w:val="00FC6A35"/>
    <w:rsid w:val="00FC7A1F"/>
    <w:rsid w:val="00FD38D1"/>
    <w:rsid w:val="00FD39E3"/>
    <w:rsid w:val="00FD3FDC"/>
    <w:rsid w:val="00FD506A"/>
    <w:rsid w:val="00FE09D6"/>
    <w:rsid w:val="00FE1223"/>
    <w:rsid w:val="00FE1E43"/>
    <w:rsid w:val="00FE2333"/>
    <w:rsid w:val="00FE3A50"/>
    <w:rsid w:val="00FE47DD"/>
    <w:rsid w:val="00FE4F12"/>
    <w:rsid w:val="00FE567E"/>
    <w:rsid w:val="00FE5CFF"/>
    <w:rsid w:val="00FE632B"/>
    <w:rsid w:val="00FE70C5"/>
    <w:rsid w:val="00FF24B9"/>
    <w:rsid w:val="00FF3F99"/>
    <w:rsid w:val="00FF6799"/>
    <w:rsid w:val="00FF6B07"/>
    <w:rsid w:val="00FF7539"/>
    <w:rsid w:val="01977019"/>
    <w:rsid w:val="01BE0A00"/>
    <w:rsid w:val="01BF37C7"/>
    <w:rsid w:val="01E40D30"/>
    <w:rsid w:val="028E4F47"/>
    <w:rsid w:val="02EC54FC"/>
    <w:rsid w:val="03082909"/>
    <w:rsid w:val="030C3556"/>
    <w:rsid w:val="03323B24"/>
    <w:rsid w:val="03764299"/>
    <w:rsid w:val="03956FE5"/>
    <w:rsid w:val="03E1528D"/>
    <w:rsid w:val="03EF69D9"/>
    <w:rsid w:val="04301D26"/>
    <w:rsid w:val="043F4C76"/>
    <w:rsid w:val="04771826"/>
    <w:rsid w:val="04881B00"/>
    <w:rsid w:val="04F31FCB"/>
    <w:rsid w:val="050B0AD1"/>
    <w:rsid w:val="057B43A1"/>
    <w:rsid w:val="05EB1A27"/>
    <w:rsid w:val="067A7CBC"/>
    <w:rsid w:val="06A55C2A"/>
    <w:rsid w:val="06FD535B"/>
    <w:rsid w:val="07696335"/>
    <w:rsid w:val="078B7CA7"/>
    <w:rsid w:val="08527FD0"/>
    <w:rsid w:val="08816E02"/>
    <w:rsid w:val="08A90BC7"/>
    <w:rsid w:val="08BB636A"/>
    <w:rsid w:val="08E41D65"/>
    <w:rsid w:val="08F739F1"/>
    <w:rsid w:val="08FF54D2"/>
    <w:rsid w:val="09410F65"/>
    <w:rsid w:val="095962AF"/>
    <w:rsid w:val="095E0D6F"/>
    <w:rsid w:val="095E7410"/>
    <w:rsid w:val="09C33728"/>
    <w:rsid w:val="09C53944"/>
    <w:rsid w:val="09E65669"/>
    <w:rsid w:val="0A035FA0"/>
    <w:rsid w:val="0A202CE9"/>
    <w:rsid w:val="0A241A31"/>
    <w:rsid w:val="0A5531D5"/>
    <w:rsid w:val="0A6D20CC"/>
    <w:rsid w:val="0AF21588"/>
    <w:rsid w:val="0AFF71A9"/>
    <w:rsid w:val="0B2E5519"/>
    <w:rsid w:val="0B607D2B"/>
    <w:rsid w:val="0B8D1285"/>
    <w:rsid w:val="0C897659"/>
    <w:rsid w:val="0C970E9C"/>
    <w:rsid w:val="0CA16DA6"/>
    <w:rsid w:val="0CA82115"/>
    <w:rsid w:val="0D5F61E0"/>
    <w:rsid w:val="0DAA4EB5"/>
    <w:rsid w:val="0DDB675B"/>
    <w:rsid w:val="0DDF432E"/>
    <w:rsid w:val="0DE23A56"/>
    <w:rsid w:val="0E265444"/>
    <w:rsid w:val="0E9868B2"/>
    <w:rsid w:val="0EA74DF0"/>
    <w:rsid w:val="0EC046DA"/>
    <w:rsid w:val="0F040A6B"/>
    <w:rsid w:val="0F0D7CC0"/>
    <w:rsid w:val="0F1A64E0"/>
    <w:rsid w:val="0F465DFE"/>
    <w:rsid w:val="0F915A7F"/>
    <w:rsid w:val="0FA318B3"/>
    <w:rsid w:val="100D394F"/>
    <w:rsid w:val="10322C7D"/>
    <w:rsid w:val="1035231C"/>
    <w:rsid w:val="105B0B5E"/>
    <w:rsid w:val="106F1A56"/>
    <w:rsid w:val="108002F8"/>
    <w:rsid w:val="10802373"/>
    <w:rsid w:val="10FB6ED7"/>
    <w:rsid w:val="11125820"/>
    <w:rsid w:val="1142587A"/>
    <w:rsid w:val="114F3C6F"/>
    <w:rsid w:val="1160140E"/>
    <w:rsid w:val="119650D6"/>
    <w:rsid w:val="11BB73DB"/>
    <w:rsid w:val="11E20A8A"/>
    <w:rsid w:val="12154D3D"/>
    <w:rsid w:val="12394D92"/>
    <w:rsid w:val="125A4E46"/>
    <w:rsid w:val="1265214B"/>
    <w:rsid w:val="12B06B74"/>
    <w:rsid w:val="12BC78AF"/>
    <w:rsid w:val="12C56763"/>
    <w:rsid w:val="132966A1"/>
    <w:rsid w:val="13330541"/>
    <w:rsid w:val="13431237"/>
    <w:rsid w:val="13CB4909"/>
    <w:rsid w:val="13EE5846"/>
    <w:rsid w:val="147321EF"/>
    <w:rsid w:val="14787805"/>
    <w:rsid w:val="149E2754"/>
    <w:rsid w:val="14A76B65"/>
    <w:rsid w:val="14EF6E3C"/>
    <w:rsid w:val="1527393E"/>
    <w:rsid w:val="15473B0D"/>
    <w:rsid w:val="15532C0C"/>
    <w:rsid w:val="156D6A36"/>
    <w:rsid w:val="159E329B"/>
    <w:rsid w:val="15A76BCA"/>
    <w:rsid w:val="15F476FE"/>
    <w:rsid w:val="16A63EBE"/>
    <w:rsid w:val="16AD6671"/>
    <w:rsid w:val="16C75851"/>
    <w:rsid w:val="16E029FE"/>
    <w:rsid w:val="17316B01"/>
    <w:rsid w:val="17577BBC"/>
    <w:rsid w:val="17CC0594"/>
    <w:rsid w:val="18272FE4"/>
    <w:rsid w:val="184D16A1"/>
    <w:rsid w:val="18CD6B42"/>
    <w:rsid w:val="197219EF"/>
    <w:rsid w:val="19832D26"/>
    <w:rsid w:val="198A7CE9"/>
    <w:rsid w:val="19965340"/>
    <w:rsid w:val="19A753EF"/>
    <w:rsid w:val="19FF50A2"/>
    <w:rsid w:val="1A330456"/>
    <w:rsid w:val="1A4646AB"/>
    <w:rsid w:val="1A751D00"/>
    <w:rsid w:val="1A862C7C"/>
    <w:rsid w:val="1A8769F4"/>
    <w:rsid w:val="1A8C400A"/>
    <w:rsid w:val="1AA44A3D"/>
    <w:rsid w:val="1AA5714C"/>
    <w:rsid w:val="1AC22171"/>
    <w:rsid w:val="1B185DF1"/>
    <w:rsid w:val="1B3C333B"/>
    <w:rsid w:val="1B574618"/>
    <w:rsid w:val="1BB81EB9"/>
    <w:rsid w:val="1BD10ACF"/>
    <w:rsid w:val="1CAF3013"/>
    <w:rsid w:val="1CB957A5"/>
    <w:rsid w:val="1CF01DB6"/>
    <w:rsid w:val="1D203E4C"/>
    <w:rsid w:val="1D59707C"/>
    <w:rsid w:val="1D673B9B"/>
    <w:rsid w:val="1DB96250"/>
    <w:rsid w:val="1DE23BD0"/>
    <w:rsid w:val="1E0B6822"/>
    <w:rsid w:val="1E1D1ADC"/>
    <w:rsid w:val="1EA95575"/>
    <w:rsid w:val="1F8E6EBD"/>
    <w:rsid w:val="1FAE057F"/>
    <w:rsid w:val="1FFC646D"/>
    <w:rsid w:val="20457135"/>
    <w:rsid w:val="2064550A"/>
    <w:rsid w:val="20651585"/>
    <w:rsid w:val="20947775"/>
    <w:rsid w:val="20971013"/>
    <w:rsid w:val="2099410A"/>
    <w:rsid w:val="20B00A53"/>
    <w:rsid w:val="20E93A14"/>
    <w:rsid w:val="20EF2BFD"/>
    <w:rsid w:val="21022930"/>
    <w:rsid w:val="212A5BF7"/>
    <w:rsid w:val="212E3725"/>
    <w:rsid w:val="21E3600E"/>
    <w:rsid w:val="21FF50C2"/>
    <w:rsid w:val="228B33AC"/>
    <w:rsid w:val="228D6B72"/>
    <w:rsid w:val="229741FB"/>
    <w:rsid w:val="233F437F"/>
    <w:rsid w:val="2355492B"/>
    <w:rsid w:val="238A1738"/>
    <w:rsid w:val="23E14F51"/>
    <w:rsid w:val="23FC763B"/>
    <w:rsid w:val="24007AC0"/>
    <w:rsid w:val="24490C42"/>
    <w:rsid w:val="24A02556"/>
    <w:rsid w:val="24C279DD"/>
    <w:rsid w:val="273A72C8"/>
    <w:rsid w:val="273B6292"/>
    <w:rsid w:val="27BF5A1F"/>
    <w:rsid w:val="27DF5779"/>
    <w:rsid w:val="287F6961"/>
    <w:rsid w:val="28F306BC"/>
    <w:rsid w:val="295A3164"/>
    <w:rsid w:val="299B210F"/>
    <w:rsid w:val="29C94933"/>
    <w:rsid w:val="2A31687A"/>
    <w:rsid w:val="2A896176"/>
    <w:rsid w:val="2AA84D61"/>
    <w:rsid w:val="2ABF2224"/>
    <w:rsid w:val="2AE13EFE"/>
    <w:rsid w:val="2B1233F3"/>
    <w:rsid w:val="2B1342E9"/>
    <w:rsid w:val="2B231E21"/>
    <w:rsid w:val="2B492F35"/>
    <w:rsid w:val="2BBB64FD"/>
    <w:rsid w:val="2BCB6A9E"/>
    <w:rsid w:val="2C5739B6"/>
    <w:rsid w:val="2CD94C44"/>
    <w:rsid w:val="2CE105A8"/>
    <w:rsid w:val="2D145EC5"/>
    <w:rsid w:val="2D1F71B1"/>
    <w:rsid w:val="2DDE4F13"/>
    <w:rsid w:val="2DE35030"/>
    <w:rsid w:val="2DEA63D5"/>
    <w:rsid w:val="2E0A551A"/>
    <w:rsid w:val="2E1A39AF"/>
    <w:rsid w:val="2E317C31"/>
    <w:rsid w:val="2E3615D0"/>
    <w:rsid w:val="2E593700"/>
    <w:rsid w:val="2E6C4EAC"/>
    <w:rsid w:val="2EE45D6B"/>
    <w:rsid w:val="2EFF4953"/>
    <w:rsid w:val="2F9825AD"/>
    <w:rsid w:val="2FE25F22"/>
    <w:rsid w:val="301452F1"/>
    <w:rsid w:val="30742E3D"/>
    <w:rsid w:val="30773781"/>
    <w:rsid w:val="30BB2AFC"/>
    <w:rsid w:val="30C23E8A"/>
    <w:rsid w:val="30FA1876"/>
    <w:rsid w:val="30FA2232"/>
    <w:rsid w:val="310149B3"/>
    <w:rsid w:val="312F7772"/>
    <w:rsid w:val="314359A8"/>
    <w:rsid w:val="31A97892"/>
    <w:rsid w:val="31B163D9"/>
    <w:rsid w:val="31C62B71"/>
    <w:rsid w:val="31DF397F"/>
    <w:rsid w:val="31F369F1"/>
    <w:rsid w:val="31FF6F86"/>
    <w:rsid w:val="32BA0A47"/>
    <w:rsid w:val="32C04373"/>
    <w:rsid w:val="32FB467E"/>
    <w:rsid w:val="33B271F9"/>
    <w:rsid w:val="34246677"/>
    <w:rsid w:val="343F5291"/>
    <w:rsid w:val="345011CA"/>
    <w:rsid w:val="347831DE"/>
    <w:rsid w:val="34BA7756"/>
    <w:rsid w:val="34C401D1"/>
    <w:rsid w:val="34D8063D"/>
    <w:rsid w:val="34F315EC"/>
    <w:rsid w:val="351D32EB"/>
    <w:rsid w:val="355A755C"/>
    <w:rsid w:val="35646E1B"/>
    <w:rsid w:val="358D5119"/>
    <w:rsid w:val="359C114E"/>
    <w:rsid w:val="35B77D36"/>
    <w:rsid w:val="35BD56CD"/>
    <w:rsid w:val="35D167C5"/>
    <w:rsid w:val="36052F20"/>
    <w:rsid w:val="360867E3"/>
    <w:rsid w:val="37046FAB"/>
    <w:rsid w:val="37366BC9"/>
    <w:rsid w:val="375A306E"/>
    <w:rsid w:val="37614C76"/>
    <w:rsid w:val="37F0282A"/>
    <w:rsid w:val="382D42DF"/>
    <w:rsid w:val="38402264"/>
    <w:rsid w:val="38482EC7"/>
    <w:rsid w:val="385007DE"/>
    <w:rsid w:val="38987802"/>
    <w:rsid w:val="38A91F15"/>
    <w:rsid w:val="38C13951"/>
    <w:rsid w:val="38D13A7E"/>
    <w:rsid w:val="391D5A76"/>
    <w:rsid w:val="395D6800"/>
    <w:rsid w:val="39711F92"/>
    <w:rsid w:val="39A44A75"/>
    <w:rsid w:val="39AA70BD"/>
    <w:rsid w:val="3A013924"/>
    <w:rsid w:val="3A502507"/>
    <w:rsid w:val="3A8A77C7"/>
    <w:rsid w:val="3ACF78CF"/>
    <w:rsid w:val="3B917422"/>
    <w:rsid w:val="3BA935D7"/>
    <w:rsid w:val="3BB75B4D"/>
    <w:rsid w:val="3BDF7FE6"/>
    <w:rsid w:val="3BFB5E51"/>
    <w:rsid w:val="3BFF6791"/>
    <w:rsid w:val="3CBF1D42"/>
    <w:rsid w:val="3CD66855"/>
    <w:rsid w:val="3CD95A58"/>
    <w:rsid w:val="3D0221DE"/>
    <w:rsid w:val="3D0535AB"/>
    <w:rsid w:val="3D123AC2"/>
    <w:rsid w:val="3D1D5019"/>
    <w:rsid w:val="3D9F7F26"/>
    <w:rsid w:val="3DC60FA5"/>
    <w:rsid w:val="3E5F4AE1"/>
    <w:rsid w:val="3EBD5447"/>
    <w:rsid w:val="3ED65734"/>
    <w:rsid w:val="3F0E1620"/>
    <w:rsid w:val="3F166FC8"/>
    <w:rsid w:val="3F1B4011"/>
    <w:rsid w:val="3F1E43E1"/>
    <w:rsid w:val="3F832DAD"/>
    <w:rsid w:val="3F895187"/>
    <w:rsid w:val="3F8C3FE1"/>
    <w:rsid w:val="3FCE0156"/>
    <w:rsid w:val="408E324B"/>
    <w:rsid w:val="40B14030"/>
    <w:rsid w:val="40BC30C6"/>
    <w:rsid w:val="40DF0F2E"/>
    <w:rsid w:val="41031EBC"/>
    <w:rsid w:val="412B5499"/>
    <w:rsid w:val="41537C09"/>
    <w:rsid w:val="415723CD"/>
    <w:rsid w:val="415E7BFF"/>
    <w:rsid w:val="417858DC"/>
    <w:rsid w:val="41950206"/>
    <w:rsid w:val="41A41893"/>
    <w:rsid w:val="41C71300"/>
    <w:rsid w:val="420E2D65"/>
    <w:rsid w:val="42F66FF4"/>
    <w:rsid w:val="43072187"/>
    <w:rsid w:val="43121B3D"/>
    <w:rsid w:val="43362BE2"/>
    <w:rsid w:val="434075BC"/>
    <w:rsid w:val="434370AD"/>
    <w:rsid w:val="43525542"/>
    <w:rsid w:val="43993170"/>
    <w:rsid w:val="43AC1405"/>
    <w:rsid w:val="43C24475"/>
    <w:rsid w:val="440850C7"/>
    <w:rsid w:val="44501A81"/>
    <w:rsid w:val="445D7CFA"/>
    <w:rsid w:val="448F0B09"/>
    <w:rsid w:val="449000D0"/>
    <w:rsid w:val="44B3209C"/>
    <w:rsid w:val="45287407"/>
    <w:rsid w:val="45505343"/>
    <w:rsid w:val="45F2433B"/>
    <w:rsid w:val="460C26EA"/>
    <w:rsid w:val="475C1206"/>
    <w:rsid w:val="477F442B"/>
    <w:rsid w:val="47C85DD2"/>
    <w:rsid w:val="47E35D8D"/>
    <w:rsid w:val="48111527"/>
    <w:rsid w:val="48464883"/>
    <w:rsid w:val="48F67F8C"/>
    <w:rsid w:val="49100B0D"/>
    <w:rsid w:val="493721A7"/>
    <w:rsid w:val="493C57C4"/>
    <w:rsid w:val="494B6CBB"/>
    <w:rsid w:val="495F5D36"/>
    <w:rsid w:val="496406AC"/>
    <w:rsid w:val="4971160B"/>
    <w:rsid w:val="49C167BA"/>
    <w:rsid w:val="49DC3DB7"/>
    <w:rsid w:val="49EB6D57"/>
    <w:rsid w:val="49EE77F5"/>
    <w:rsid w:val="4A10128B"/>
    <w:rsid w:val="4A4D60E3"/>
    <w:rsid w:val="4A700FC5"/>
    <w:rsid w:val="4A7F10AC"/>
    <w:rsid w:val="4A806386"/>
    <w:rsid w:val="4A8A736F"/>
    <w:rsid w:val="4AB125CA"/>
    <w:rsid w:val="4AF07B1A"/>
    <w:rsid w:val="4B076C12"/>
    <w:rsid w:val="4B1F4A9F"/>
    <w:rsid w:val="4B2E23F0"/>
    <w:rsid w:val="4B517E8D"/>
    <w:rsid w:val="4B7A73E4"/>
    <w:rsid w:val="4BBA1ED6"/>
    <w:rsid w:val="4BBE2AEB"/>
    <w:rsid w:val="4BBE77EB"/>
    <w:rsid w:val="4BD27220"/>
    <w:rsid w:val="4BDA60D4"/>
    <w:rsid w:val="4C2839F0"/>
    <w:rsid w:val="4C2F0A5F"/>
    <w:rsid w:val="4C3D1523"/>
    <w:rsid w:val="4C4D44B3"/>
    <w:rsid w:val="4C9D15DC"/>
    <w:rsid w:val="4CF94567"/>
    <w:rsid w:val="4D1E6D30"/>
    <w:rsid w:val="4D511110"/>
    <w:rsid w:val="4D625983"/>
    <w:rsid w:val="4DA62712"/>
    <w:rsid w:val="4DE578DC"/>
    <w:rsid w:val="4DEA4AB8"/>
    <w:rsid w:val="4E2F0959"/>
    <w:rsid w:val="4E45123F"/>
    <w:rsid w:val="4ED8129E"/>
    <w:rsid w:val="4EDC3F7A"/>
    <w:rsid w:val="4EFC2424"/>
    <w:rsid w:val="4EFD0A57"/>
    <w:rsid w:val="4F0B025E"/>
    <w:rsid w:val="4F483A23"/>
    <w:rsid w:val="4FF3009A"/>
    <w:rsid w:val="4FFC0517"/>
    <w:rsid w:val="50011E81"/>
    <w:rsid w:val="505A7BA3"/>
    <w:rsid w:val="506B47DC"/>
    <w:rsid w:val="508D7BB9"/>
    <w:rsid w:val="50AA788A"/>
    <w:rsid w:val="50B36CA2"/>
    <w:rsid w:val="50BD6410"/>
    <w:rsid w:val="50C35389"/>
    <w:rsid w:val="50CD7A74"/>
    <w:rsid w:val="50E33C7D"/>
    <w:rsid w:val="50E35A66"/>
    <w:rsid w:val="51035517"/>
    <w:rsid w:val="5107619A"/>
    <w:rsid w:val="515B7316"/>
    <w:rsid w:val="51CD2963"/>
    <w:rsid w:val="51EF424B"/>
    <w:rsid w:val="51F5066B"/>
    <w:rsid w:val="521045FE"/>
    <w:rsid w:val="524F15CA"/>
    <w:rsid w:val="524F2A16"/>
    <w:rsid w:val="52650DED"/>
    <w:rsid w:val="527F4767"/>
    <w:rsid w:val="52981055"/>
    <w:rsid w:val="52AD082D"/>
    <w:rsid w:val="52C94D85"/>
    <w:rsid w:val="52F32F79"/>
    <w:rsid w:val="535D02E8"/>
    <w:rsid w:val="5371299C"/>
    <w:rsid w:val="541754A3"/>
    <w:rsid w:val="548E2B48"/>
    <w:rsid w:val="54E80F4D"/>
    <w:rsid w:val="54F80BF1"/>
    <w:rsid w:val="550A5C7C"/>
    <w:rsid w:val="551769A9"/>
    <w:rsid w:val="552C79A0"/>
    <w:rsid w:val="55AA58ED"/>
    <w:rsid w:val="55AF412E"/>
    <w:rsid w:val="561D378D"/>
    <w:rsid w:val="56302455"/>
    <w:rsid w:val="563C326F"/>
    <w:rsid w:val="56494582"/>
    <w:rsid w:val="566E6F5B"/>
    <w:rsid w:val="568D0913"/>
    <w:rsid w:val="569C67A5"/>
    <w:rsid w:val="56A725B8"/>
    <w:rsid w:val="56E23696"/>
    <w:rsid w:val="570779BB"/>
    <w:rsid w:val="57144B90"/>
    <w:rsid w:val="57315742"/>
    <w:rsid w:val="576A2A02"/>
    <w:rsid w:val="57CE0445"/>
    <w:rsid w:val="57DC2DA2"/>
    <w:rsid w:val="57F873A0"/>
    <w:rsid w:val="580F76C5"/>
    <w:rsid w:val="58101A31"/>
    <w:rsid w:val="581450C2"/>
    <w:rsid w:val="584B5DC6"/>
    <w:rsid w:val="585D60C3"/>
    <w:rsid w:val="58627B7D"/>
    <w:rsid w:val="5884086E"/>
    <w:rsid w:val="589046EA"/>
    <w:rsid w:val="58BD6B62"/>
    <w:rsid w:val="58C3794B"/>
    <w:rsid w:val="58DE054D"/>
    <w:rsid w:val="59030A18"/>
    <w:rsid w:val="595474C6"/>
    <w:rsid w:val="597837F6"/>
    <w:rsid w:val="59AA17DC"/>
    <w:rsid w:val="59D70FAC"/>
    <w:rsid w:val="59EF6B9D"/>
    <w:rsid w:val="5A0247FB"/>
    <w:rsid w:val="5A0762B0"/>
    <w:rsid w:val="5A3115B5"/>
    <w:rsid w:val="5A7415F7"/>
    <w:rsid w:val="5AB32454"/>
    <w:rsid w:val="5AC46EB8"/>
    <w:rsid w:val="5AC835A9"/>
    <w:rsid w:val="5ACD114C"/>
    <w:rsid w:val="5ACD2E6C"/>
    <w:rsid w:val="5B087849"/>
    <w:rsid w:val="5B0B62AA"/>
    <w:rsid w:val="5B182775"/>
    <w:rsid w:val="5B295620"/>
    <w:rsid w:val="5B387B68"/>
    <w:rsid w:val="5BC50A30"/>
    <w:rsid w:val="5BD311C2"/>
    <w:rsid w:val="5BD60FBC"/>
    <w:rsid w:val="5C422869"/>
    <w:rsid w:val="5C4817A2"/>
    <w:rsid w:val="5C494943"/>
    <w:rsid w:val="5C5975AB"/>
    <w:rsid w:val="5C7D0377"/>
    <w:rsid w:val="5C805A82"/>
    <w:rsid w:val="5C940C5F"/>
    <w:rsid w:val="5C975679"/>
    <w:rsid w:val="5CC1443C"/>
    <w:rsid w:val="5CDB424F"/>
    <w:rsid w:val="5CE768A3"/>
    <w:rsid w:val="5D060992"/>
    <w:rsid w:val="5D146407"/>
    <w:rsid w:val="5D574B4F"/>
    <w:rsid w:val="5D595B2D"/>
    <w:rsid w:val="5D9F2CDA"/>
    <w:rsid w:val="5DB20C5F"/>
    <w:rsid w:val="5DD44EF7"/>
    <w:rsid w:val="5DE60909"/>
    <w:rsid w:val="5E4F150B"/>
    <w:rsid w:val="5EB27E46"/>
    <w:rsid w:val="5EF05EE3"/>
    <w:rsid w:val="5EF37781"/>
    <w:rsid w:val="5F2B1411"/>
    <w:rsid w:val="5F781A34"/>
    <w:rsid w:val="5F864151"/>
    <w:rsid w:val="60283D2D"/>
    <w:rsid w:val="607448F1"/>
    <w:rsid w:val="611F6E25"/>
    <w:rsid w:val="61907509"/>
    <w:rsid w:val="61E71135"/>
    <w:rsid w:val="6230589F"/>
    <w:rsid w:val="625C72B4"/>
    <w:rsid w:val="6268661A"/>
    <w:rsid w:val="6276037F"/>
    <w:rsid w:val="627806C9"/>
    <w:rsid w:val="62813525"/>
    <w:rsid w:val="629D3C8C"/>
    <w:rsid w:val="632D3AAF"/>
    <w:rsid w:val="63D0375E"/>
    <w:rsid w:val="64242C25"/>
    <w:rsid w:val="643E0106"/>
    <w:rsid w:val="643F73BC"/>
    <w:rsid w:val="644C7A06"/>
    <w:rsid w:val="64772897"/>
    <w:rsid w:val="64B2679B"/>
    <w:rsid w:val="64BE0021"/>
    <w:rsid w:val="64FF16AF"/>
    <w:rsid w:val="657333CA"/>
    <w:rsid w:val="658C1FA6"/>
    <w:rsid w:val="667843AE"/>
    <w:rsid w:val="66A3383B"/>
    <w:rsid w:val="66B579EA"/>
    <w:rsid w:val="66BF7E8E"/>
    <w:rsid w:val="66C64A31"/>
    <w:rsid w:val="66DE1953"/>
    <w:rsid w:val="66EF407B"/>
    <w:rsid w:val="67046310"/>
    <w:rsid w:val="67620151"/>
    <w:rsid w:val="67A026BA"/>
    <w:rsid w:val="67B47322"/>
    <w:rsid w:val="680074AC"/>
    <w:rsid w:val="684661E6"/>
    <w:rsid w:val="6852376A"/>
    <w:rsid w:val="687077F8"/>
    <w:rsid w:val="692D1EA6"/>
    <w:rsid w:val="6941369E"/>
    <w:rsid w:val="69794C71"/>
    <w:rsid w:val="697B39D4"/>
    <w:rsid w:val="69F8604F"/>
    <w:rsid w:val="6A292CE3"/>
    <w:rsid w:val="6A372C18"/>
    <w:rsid w:val="6A6A103C"/>
    <w:rsid w:val="6AC062BA"/>
    <w:rsid w:val="6AF705F9"/>
    <w:rsid w:val="6B607AED"/>
    <w:rsid w:val="6BBE7019"/>
    <w:rsid w:val="6BDD159D"/>
    <w:rsid w:val="6BE50451"/>
    <w:rsid w:val="6C3D50AE"/>
    <w:rsid w:val="6C5F693C"/>
    <w:rsid w:val="6CB24240"/>
    <w:rsid w:val="6CB34B3B"/>
    <w:rsid w:val="6CC4275D"/>
    <w:rsid w:val="6CDC0F4A"/>
    <w:rsid w:val="6D0B3EE8"/>
    <w:rsid w:val="6D112782"/>
    <w:rsid w:val="6D1300DB"/>
    <w:rsid w:val="6D1D180E"/>
    <w:rsid w:val="6D633D24"/>
    <w:rsid w:val="6D741A8D"/>
    <w:rsid w:val="6DCD73EF"/>
    <w:rsid w:val="6E2C05BA"/>
    <w:rsid w:val="6E2C2368"/>
    <w:rsid w:val="6E4476B1"/>
    <w:rsid w:val="6E733620"/>
    <w:rsid w:val="6EA142D6"/>
    <w:rsid w:val="6EDF562C"/>
    <w:rsid w:val="6F0B65D1"/>
    <w:rsid w:val="6F2E0506"/>
    <w:rsid w:val="6F543924"/>
    <w:rsid w:val="6FF360EB"/>
    <w:rsid w:val="70030E51"/>
    <w:rsid w:val="70227EC6"/>
    <w:rsid w:val="703419A7"/>
    <w:rsid w:val="703E36A2"/>
    <w:rsid w:val="70B054D2"/>
    <w:rsid w:val="70F01D72"/>
    <w:rsid w:val="70F11172"/>
    <w:rsid w:val="711F7F62"/>
    <w:rsid w:val="71352A9F"/>
    <w:rsid w:val="7148395C"/>
    <w:rsid w:val="714E73FA"/>
    <w:rsid w:val="717464FF"/>
    <w:rsid w:val="717A7C26"/>
    <w:rsid w:val="71902C0D"/>
    <w:rsid w:val="72032D26"/>
    <w:rsid w:val="720B4AA9"/>
    <w:rsid w:val="72113D4E"/>
    <w:rsid w:val="722111CB"/>
    <w:rsid w:val="723B642E"/>
    <w:rsid w:val="72C928DE"/>
    <w:rsid w:val="731F693F"/>
    <w:rsid w:val="7394780C"/>
    <w:rsid w:val="73D90183"/>
    <w:rsid w:val="7476433D"/>
    <w:rsid w:val="74A374DD"/>
    <w:rsid w:val="74A406F1"/>
    <w:rsid w:val="74E3172A"/>
    <w:rsid w:val="75343799"/>
    <w:rsid w:val="762D1B8D"/>
    <w:rsid w:val="766866A6"/>
    <w:rsid w:val="7682346D"/>
    <w:rsid w:val="76B75626"/>
    <w:rsid w:val="770C07C7"/>
    <w:rsid w:val="77442224"/>
    <w:rsid w:val="77453BED"/>
    <w:rsid w:val="77910151"/>
    <w:rsid w:val="77A80CB1"/>
    <w:rsid w:val="77EC04F9"/>
    <w:rsid w:val="77F75794"/>
    <w:rsid w:val="7822289D"/>
    <w:rsid w:val="78627EE7"/>
    <w:rsid w:val="786B1CDE"/>
    <w:rsid w:val="78C95383"/>
    <w:rsid w:val="78D45AD6"/>
    <w:rsid w:val="791A48BC"/>
    <w:rsid w:val="797216DF"/>
    <w:rsid w:val="79AD6A52"/>
    <w:rsid w:val="7A0B7E27"/>
    <w:rsid w:val="7A2B3E1B"/>
    <w:rsid w:val="7A412AB0"/>
    <w:rsid w:val="7A537B18"/>
    <w:rsid w:val="7A773AA0"/>
    <w:rsid w:val="7A906CBB"/>
    <w:rsid w:val="7B1242D4"/>
    <w:rsid w:val="7B806337"/>
    <w:rsid w:val="7B910F06"/>
    <w:rsid w:val="7B974EA7"/>
    <w:rsid w:val="7BAD050F"/>
    <w:rsid w:val="7BB120FE"/>
    <w:rsid w:val="7BBA0FB3"/>
    <w:rsid w:val="7C154B4A"/>
    <w:rsid w:val="7C330D65"/>
    <w:rsid w:val="7C476E66"/>
    <w:rsid w:val="7CC9645A"/>
    <w:rsid w:val="7CDE5175"/>
    <w:rsid w:val="7CE34539"/>
    <w:rsid w:val="7CF46746"/>
    <w:rsid w:val="7D20578D"/>
    <w:rsid w:val="7D4F2387"/>
    <w:rsid w:val="7DD554FF"/>
    <w:rsid w:val="7DF9538A"/>
    <w:rsid w:val="7E372D8F"/>
    <w:rsid w:val="7E4277D8"/>
    <w:rsid w:val="7E70004F"/>
    <w:rsid w:val="7EB92052"/>
    <w:rsid w:val="7EF75569"/>
    <w:rsid w:val="7F4F3A11"/>
    <w:rsid w:val="7FDF0615"/>
    <w:rsid w:val="7FE720A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nhideWhenUsed="0" w:uiPriority="0" w:semiHidden="0" w:name="Body Text First Indent"/>
    <w:lsdException w:uiPriority="99" w:name="Body Text First Indent 2"/>
    <w:lsdException w:uiPriority="99" w:name="Note Heading"/>
    <w:lsdException w:qFormat="1" w:unhideWhenUsed="0" w:uiPriority="0" w:semiHidden="0" w:name="Body Text 2"/>
    <w:lsdException w:uiPriority="99" w:name="Body Text 3"/>
    <w:lsdException w:qFormat="1" w:uiPriority="99" w:semiHidden="0"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40" w:after="40" w:line="360" w:lineRule="auto"/>
      <w:ind w:firstLine="56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39"/>
    <w:qFormat/>
    <w:uiPriority w:val="9"/>
    <w:pPr>
      <w:keepNext/>
      <w:keepLines/>
      <w:adjustRightInd w:val="0"/>
      <w:snapToGrid w:val="0"/>
      <w:outlineLvl w:val="0"/>
    </w:pPr>
    <w:rPr>
      <w:rFonts w:ascii="Calibri" w:hAnsi="Calibri"/>
      <w:b/>
      <w:kern w:val="44"/>
      <w:sz w:val="32"/>
    </w:rPr>
  </w:style>
  <w:style w:type="paragraph" w:styleId="3">
    <w:name w:val="heading 2"/>
    <w:basedOn w:val="1"/>
    <w:next w:val="1"/>
    <w:link w:val="37"/>
    <w:qFormat/>
    <w:uiPriority w:val="0"/>
    <w:pPr>
      <w:keepNext/>
      <w:keepLines/>
      <w:spacing w:before="100" w:after="100"/>
      <w:outlineLvl w:val="1"/>
    </w:pPr>
    <w:rPr>
      <w:rFonts w:ascii="宋体" w:hAnsi="宋体" w:cs="宋体"/>
      <w:b/>
      <w:bCs/>
      <w:sz w:val="28"/>
      <w:szCs w:val="28"/>
    </w:rPr>
  </w:style>
  <w:style w:type="paragraph" w:styleId="4">
    <w:name w:val="heading 3"/>
    <w:basedOn w:val="1"/>
    <w:next w:val="1"/>
    <w:link w:val="40"/>
    <w:qFormat/>
    <w:uiPriority w:val="9"/>
    <w:pPr>
      <w:keepNext/>
      <w:keepLines/>
      <w:spacing w:before="0" w:after="0" w:line="240" w:lineRule="auto"/>
      <w:outlineLvl w:val="2"/>
    </w:pPr>
    <w:rPr>
      <w:b/>
      <w:bCs/>
    </w:rPr>
  </w:style>
  <w:style w:type="paragraph" w:styleId="5">
    <w:name w:val="heading 4"/>
    <w:basedOn w:val="1"/>
    <w:next w:val="1"/>
    <w:link w:val="41"/>
    <w:qFormat/>
    <w:uiPriority w:val="0"/>
    <w:pPr>
      <w:keepNext/>
      <w:keepLines/>
      <w:spacing w:before="280" w:after="290" w:line="376" w:lineRule="auto"/>
      <w:outlineLvl w:val="3"/>
    </w:pPr>
    <w:rPr>
      <w:rFonts w:ascii="Calibri Light" w:hAnsi="Calibri Light"/>
      <w:b/>
      <w:bCs/>
      <w:sz w:val="28"/>
      <w:szCs w:val="28"/>
    </w:rPr>
  </w:style>
  <w:style w:type="paragraph" w:styleId="6">
    <w:name w:val="heading 5"/>
    <w:basedOn w:val="1"/>
    <w:next w:val="7"/>
    <w:link w:val="42"/>
    <w:qFormat/>
    <w:uiPriority w:val="0"/>
    <w:pPr>
      <w:keepNext/>
      <w:keepLines/>
      <w:tabs>
        <w:tab w:val="left" w:pos="1008"/>
      </w:tabs>
      <w:adjustRightInd w:val="0"/>
      <w:spacing w:before="280" w:after="290" w:line="376" w:lineRule="atLeast"/>
      <w:ind w:left="1008" w:hanging="1008"/>
      <w:textAlignment w:val="baseline"/>
      <w:outlineLvl w:val="4"/>
    </w:pPr>
    <w:rPr>
      <w:b/>
      <w:kern w:val="0"/>
      <w:sz w:val="28"/>
      <w:szCs w:val="20"/>
    </w:rPr>
  </w:style>
  <w:style w:type="paragraph" w:styleId="8">
    <w:name w:val="heading 6"/>
    <w:basedOn w:val="1"/>
    <w:next w:val="7"/>
    <w:link w:val="43"/>
    <w:qFormat/>
    <w:uiPriority w:val="0"/>
    <w:pPr>
      <w:keepNext/>
      <w:keepLines/>
      <w:tabs>
        <w:tab w:val="left" w:pos="1152"/>
      </w:tabs>
      <w:adjustRightInd w:val="0"/>
      <w:spacing w:before="240" w:after="64" w:line="320" w:lineRule="atLeast"/>
      <w:ind w:left="1152" w:hanging="1152"/>
      <w:textAlignment w:val="baseline"/>
      <w:outlineLvl w:val="5"/>
    </w:pPr>
    <w:rPr>
      <w:rFonts w:ascii="Arial" w:hAnsi="Arial" w:eastAsia="黑体"/>
      <w:b/>
      <w:kern w:val="0"/>
      <w:szCs w:val="20"/>
    </w:rPr>
  </w:style>
  <w:style w:type="paragraph" w:styleId="9">
    <w:name w:val="heading 7"/>
    <w:basedOn w:val="1"/>
    <w:next w:val="7"/>
    <w:link w:val="44"/>
    <w:qFormat/>
    <w:uiPriority w:val="0"/>
    <w:pPr>
      <w:keepNext/>
      <w:keepLines/>
      <w:tabs>
        <w:tab w:val="left" w:pos="1296"/>
      </w:tabs>
      <w:adjustRightInd w:val="0"/>
      <w:spacing w:before="240" w:after="64" w:line="320" w:lineRule="atLeast"/>
      <w:ind w:left="1296" w:hanging="1296"/>
      <w:textAlignment w:val="baseline"/>
      <w:outlineLvl w:val="6"/>
    </w:pPr>
    <w:rPr>
      <w:b/>
      <w:kern w:val="0"/>
      <w:szCs w:val="20"/>
    </w:rPr>
  </w:style>
  <w:style w:type="paragraph" w:styleId="10">
    <w:name w:val="heading 8"/>
    <w:basedOn w:val="1"/>
    <w:next w:val="7"/>
    <w:link w:val="45"/>
    <w:qFormat/>
    <w:uiPriority w:val="0"/>
    <w:pPr>
      <w:keepNext/>
      <w:keepLines/>
      <w:tabs>
        <w:tab w:val="left" w:pos="1440"/>
      </w:tabs>
      <w:adjustRightInd w:val="0"/>
      <w:spacing w:before="240" w:after="64" w:line="320" w:lineRule="atLeast"/>
      <w:ind w:left="1440" w:hanging="1440"/>
      <w:textAlignment w:val="baseline"/>
      <w:outlineLvl w:val="7"/>
    </w:pPr>
    <w:rPr>
      <w:rFonts w:ascii="Arial" w:hAnsi="Arial" w:eastAsia="黑体"/>
      <w:kern w:val="0"/>
      <w:szCs w:val="20"/>
    </w:rPr>
  </w:style>
  <w:style w:type="paragraph" w:styleId="11">
    <w:name w:val="heading 9"/>
    <w:basedOn w:val="1"/>
    <w:next w:val="7"/>
    <w:link w:val="46"/>
    <w:qFormat/>
    <w:uiPriority w:val="0"/>
    <w:pPr>
      <w:keepNext/>
      <w:keepLines/>
      <w:tabs>
        <w:tab w:val="left" w:pos="1584"/>
      </w:tabs>
      <w:adjustRightInd w:val="0"/>
      <w:spacing w:before="240" w:after="64" w:line="320" w:lineRule="atLeast"/>
      <w:ind w:left="1584" w:hanging="1584"/>
      <w:textAlignment w:val="baseline"/>
      <w:outlineLvl w:val="8"/>
    </w:pPr>
    <w:rPr>
      <w:rFonts w:ascii="Arial" w:hAnsi="Arial" w:eastAsia="黑体"/>
      <w:kern w:val="0"/>
      <w:szCs w:val="20"/>
    </w:rPr>
  </w:style>
  <w:style w:type="character" w:default="1" w:styleId="32">
    <w:name w:val="Default Paragraph Font"/>
    <w:semiHidden/>
    <w:unhideWhenUsed/>
    <w:qFormat/>
    <w:uiPriority w:val="1"/>
  </w:style>
  <w:style w:type="table" w:default="1" w:styleId="3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Normal Indent"/>
    <w:basedOn w:val="1"/>
    <w:link w:val="38"/>
    <w:qFormat/>
    <w:uiPriority w:val="0"/>
    <w:pPr>
      <w:ind w:firstLine="420"/>
    </w:pPr>
  </w:style>
  <w:style w:type="paragraph" w:styleId="12">
    <w:name w:val="Document Map"/>
    <w:basedOn w:val="1"/>
    <w:link w:val="47"/>
    <w:semiHidden/>
    <w:qFormat/>
    <w:uiPriority w:val="0"/>
    <w:pPr>
      <w:shd w:val="clear" w:color="auto" w:fill="000080"/>
    </w:pPr>
  </w:style>
  <w:style w:type="paragraph" w:styleId="13">
    <w:name w:val="annotation text"/>
    <w:basedOn w:val="1"/>
    <w:link w:val="48"/>
    <w:unhideWhenUsed/>
    <w:qFormat/>
    <w:uiPriority w:val="99"/>
    <w:pPr>
      <w:jc w:val="left"/>
    </w:pPr>
  </w:style>
  <w:style w:type="paragraph" w:styleId="14">
    <w:name w:val="Body Text"/>
    <w:basedOn w:val="1"/>
    <w:link w:val="49"/>
    <w:unhideWhenUsed/>
    <w:qFormat/>
    <w:uiPriority w:val="0"/>
    <w:pPr>
      <w:spacing w:after="120"/>
    </w:pPr>
  </w:style>
  <w:style w:type="paragraph" w:styleId="15">
    <w:name w:val="Body Text Indent"/>
    <w:basedOn w:val="1"/>
    <w:link w:val="50"/>
    <w:qFormat/>
    <w:uiPriority w:val="0"/>
    <w:pPr>
      <w:spacing w:after="120"/>
      <w:ind w:left="420" w:leftChars="200"/>
    </w:pPr>
  </w:style>
  <w:style w:type="paragraph" w:styleId="16">
    <w:name w:val="toc 3"/>
    <w:basedOn w:val="1"/>
    <w:next w:val="1"/>
    <w:unhideWhenUsed/>
    <w:qFormat/>
    <w:uiPriority w:val="39"/>
    <w:pPr>
      <w:spacing w:before="50" w:beforeLines="50" w:after="50" w:afterLines="50"/>
      <w:ind w:left="400" w:leftChars="400"/>
    </w:pPr>
    <w:rPr>
      <w:rFonts w:eastAsia="黑体"/>
    </w:rPr>
  </w:style>
  <w:style w:type="paragraph" w:styleId="17">
    <w:name w:val="Plain Text"/>
    <w:basedOn w:val="1"/>
    <w:link w:val="51"/>
    <w:qFormat/>
    <w:uiPriority w:val="0"/>
    <w:rPr>
      <w:rFonts w:ascii="宋体" w:hAnsi="Courier New"/>
      <w:szCs w:val="20"/>
    </w:rPr>
  </w:style>
  <w:style w:type="paragraph" w:styleId="18">
    <w:name w:val="Date"/>
    <w:basedOn w:val="1"/>
    <w:next w:val="1"/>
    <w:link w:val="52"/>
    <w:unhideWhenUsed/>
    <w:qFormat/>
    <w:uiPriority w:val="99"/>
  </w:style>
  <w:style w:type="paragraph" w:styleId="19">
    <w:name w:val="Body Text Indent 2"/>
    <w:basedOn w:val="1"/>
    <w:unhideWhenUsed/>
    <w:qFormat/>
    <w:uiPriority w:val="99"/>
    <w:pPr>
      <w:spacing w:after="120" w:line="480" w:lineRule="auto"/>
      <w:ind w:left="420" w:leftChars="200"/>
    </w:pPr>
  </w:style>
  <w:style w:type="paragraph" w:styleId="20">
    <w:name w:val="Balloon Text"/>
    <w:basedOn w:val="1"/>
    <w:link w:val="53"/>
    <w:unhideWhenUsed/>
    <w:qFormat/>
    <w:uiPriority w:val="0"/>
    <w:rPr>
      <w:sz w:val="18"/>
      <w:szCs w:val="18"/>
    </w:rPr>
  </w:style>
  <w:style w:type="paragraph" w:styleId="21">
    <w:name w:val="footer"/>
    <w:basedOn w:val="1"/>
    <w:link w:val="54"/>
    <w:unhideWhenUsed/>
    <w:qFormat/>
    <w:uiPriority w:val="99"/>
    <w:pPr>
      <w:tabs>
        <w:tab w:val="center" w:pos="4153"/>
        <w:tab w:val="right" w:pos="8306"/>
      </w:tabs>
      <w:snapToGrid w:val="0"/>
      <w:jc w:val="left"/>
    </w:pPr>
    <w:rPr>
      <w:sz w:val="18"/>
      <w:szCs w:val="18"/>
    </w:rPr>
  </w:style>
  <w:style w:type="paragraph" w:styleId="22">
    <w:name w:val="header"/>
    <w:basedOn w:val="1"/>
    <w:link w:val="55"/>
    <w:unhideWhenUsed/>
    <w:qFormat/>
    <w:uiPriority w:val="0"/>
    <w:pPr>
      <w:pBdr>
        <w:bottom w:val="single" w:color="auto" w:sz="6" w:space="1"/>
      </w:pBdr>
      <w:tabs>
        <w:tab w:val="center" w:pos="4153"/>
        <w:tab w:val="right" w:pos="8306"/>
      </w:tabs>
      <w:snapToGrid w:val="0"/>
      <w:jc w:val="center"/>
    </w:pPr>
    <w:rPr>
      <w:sz w:val="18"/>
      <w:szCs w:val="18"/>
    </w:rPr>
  </w:style>
  <w:style w:type="paragraph" w:styleId="23">
    <w:name w:val="toc 1"/>
    <w:basedOn w:val="1"/>
    <w:next w:val="1"/>
    <w:qFormat/>
    <w:uiPriority w:val="39"/>
    <w:pPr>
      <w:tabs>
        <w:tab w:val="right" w:leader="dot" w:pos="9070"/>
      </w:tabs>
    </w:pPr>
    <w:rPr>
      <w:b/>
      <w:bCs/>
    </w:rPr>
  </w:style>
  <w:style w:type="paragraph" w:styleId="24">
    <w:name w:val="toc 2"/>
    <w:basedOn w:val="1"/>
    <w:next w:val="1"/>
    <w:unhideWhenUsed/>
    <w:qFormat/>
    <w:uiPriority w:val="39"/>
    <w:pPr>
      <w:tabs>
        <w:tab w:val="right" w:leader="dot" w:pos="9060"/>
      </w:tabs>
      <w:ind w:left="420" w:leftChars="200"/>
    </w:pPr>
  </w:style>
  <w:style w:type="paragraph" w:styleId="25">
    <w:name w:val="Body Text 2"/>
    <w:basedOn w:val="1"/>
    <w:link w:val="56"/>
    <w:qFormat/>
    <w:uiPriority w:val="0"/>
    <w:pPr>
      <w:spacing w:after="120" w:line="480" w:lineRule="auto"/>
    </w:pPr>
  </w:style>
  <w:style w:type="paragraph" w:styleId="26">
    <w:name w:val="Normal (Web)"/>
    <w:basedOn w:val="1"/>
    <w:qFormat/>
    <w:uiPriority w:val="0"/>
    <w:pPr>
      <w:widowControl/>
      <w:spacing w:before="100" w:beforeAutospacing="1" w:after="119"/>
      <w:jc w:val="left"/>
    </w:pPr>
    <w:rPr>
      <w:rFonts w:ascii="宋体" w:hAnsi="宋体" w:cs="宋体"/>
      <w:kern w:val="0"/>
    </w:rPr>
  </w:style>
  <w:style w:type="paragraph" w:styleId="27">
    <w:name w:val="Title"/>
    <w:basedOn w:val="1"/>
    <w:next w:val="1"/>
    <w:link w:val="57"/>
    <w:qFormat/>
    <w:uiPriority w:val="10"/>
    <w:pPr>
      <w:spacing w:before="240" w:after="60"/>
      <w:jc w:val="center"/>
      <w:outlineLvl w:val="0"/>
    </w:pPr>
    <w:rPr>
      <w:rFonts w:ascii="Cambria" w:hAnsi="Cambria"/>
      <w:b/>
      <w:bCs/>
      <w:kern w:val="0"/>
      <w:sz w:val="32"/>
      <w:szCs w:val="32"/>
    </w:rPr>
  </w:style>
  <w:style w:type="paragraph" w:styleId="28">
    <w:name w:val="annotation subject"/>
    <w:basedOn w:val="13"/>
    <w:next w:val="13"/>
    <w:link w:val="58"/>
    <w:unhideWhenUsed/>
    <w:qFormat/>
    <w:uiPriority w:val="99"/>
    <w:rPr>
      <w:rFonts w:ascii="Calibri" w:hAnsi="Calibri"/>
      <w:b/>
      <w:bCs/>
    </w:rPr>
  </w:style>
  <w:style w:type="paragraph" w:styleId="29">
    <w:name w:val="Body Text First Indent"/>
    <w:basedOn w:val="14"/>
    <w:link w:val="59"/>
    <w:qFormat/>
    <w:uiPriority w:val="0"/>
    <w:pPr>
      <w:ind w:firstLine="420" w:firstLineChars="100"/>
    </w:pPr>
  </w:style>
  <w:style w:type="table" w:styleId="31">
    <w:name w:val="Table Grid"/>
    <w:basedOn w:val="3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page number"/>
    <w:qFormat/>
    <w:uiPriority w:val="0"/>
    <w:rPr>
      <w:rFonts w:ascii="Times New Roman" w:hAnsi="Times New Roman" w:eastAsia="宋体" w:cs="Times New Roman"/>
    </w:rPr>
  </w:style>
  <w:style w:type="character" w:styleId="34">
    <w:name w:val="Hyperlink"/>
    <w:qFormat/>
    <w:uiPriority w:val="99"/>
    <w:rPr>
      <w:rFonts w:ascii="Times New Roman" w:hAnsi="Times New Roman" w:eastAsia="宋体" w:cs="Times New Roman"/>
      <w:color w:val="0000FF"/>
      <w:u w:val="single"/>
    </w:rPr>
  </w:style>
  <w:style w:type="character" w:styleId="35">
    <w:name w:val="annotation reference"/>
    <w:qFormat/>
    <w:uiPriority w:val="99"/>
    <w:rPr>
      <w:rFonts w:ascii="Times New Roman" w:hAnsi="Times New Roman" w:eastAsia="宋体" w:cs="Times New Roman"/>
      <w:sz w:val="21"/>
      <w:szCs w:val="21"/>
    </w:rPr>
  </w:style>
  <w:style w:type="character" w:customStyle="1" w:styleId="36">
    <w:name w:val="标题 2 字符"/>
    <w:qFormat/>
    <w:uiPriority w:val="9"/>
    <w:rPr>
      <w:rFonts w:ascii="宋体" w:hAnsi="宋体" w:eastAsia="宋体" w:cs="宋体"/>
      <w:b/>
      <w:bCs/>
      <w:kern w:val="2"/>
      <w:sz w:val="32"/>
      <w:szCs w:val="32"/>
      <w:highlight w:val="none"/>
      <w:lang w:val="en-US" w:eastAsia="zh-CN" w:bidi="ar-SA"/>
    </w:rPr>
  </w:style>
  <w:style w:type="character" w:customStyle="1" w:styleId="37">
    <w:name w:val="标题 2 字符1"/>
    <w:link w:val="3"/>
    <w:qFormat/>
    <w:uiPriority w:val="9"/>
    <w:rPr>
      <w:rFonts w:ascii="宋体" w:hAnsi="宋体" w:eastAsia="宋体" w:cs="宋体"/>
      <w:b/>
      <w:bCs/>
      <w:kern w:val="2"/>
      <w:sz w:val="28"/>
      <w:szCs w:val="28"/>
      <w:highlight w:val="none"/>
      <w:lang w:val="en-US" w:eastAsia="zh-CN" w:bidi="ar-SA"/>
    </w:rPr>
  </w:style>
  <w:style w:type="character" w:customStyle="1" w:styleId="38">
    <w:name w:val="正文缩进 字符"/>
    <w:link w:val="7"/>
    <w:qFormat/>
    <w:uiPriority w:val="0"/>
    <w:rPr>
      <w:rFonts w:ascii="Calibri" w:hAnsi="Calibri" w:eastAsia="宋体" w:cs="Times New Roman"/>
      <w:szCs w:val="24"/>
    </w:rPr>
  </w:style>
  <w:style w:type="character" w:customStyle="1" w:styleId="39">
    <w:name w:val="标题 1 字符1"/>
    <w:link w:val="2"/>
    <w:qFormat/>
    <w:uiPriority w:val="9"/>
    <w:rPr>
      <w:rFonts w:ascii="Calibri" w:hAnsi="Calibri" w:eastAsia="宋体" w:cs="Times New Roman"/>
      <w:b/>
      <w:kern w:val="44"/>
      <w:sz w:val="32"/>
    </w:rPr>
  </w:style>
  <w:style w:type="character" w:customStyle="1" w:styleId="40">
    <w:name w:val="标题 3 字符"/>
    <w:link w:val="4"/>
    <w:qFormat/>
    <w:uiPriority w:val="9"/>
    <w:rPr>
      <w:rFonts w:ascii="Times New Roman" w:hAnsi="Times New Roman" w:eastAsia="宋体" w:cs="Times New Roman"/>
      <w:b/>
      <w:bCs/>
      <w:kern w:val="2"/>
      <w:sz w:val="24"/>
      <w:szCs w:val="24"/>
      <w:lang w:val="en-US" w:eastAsia="zh-CN" w:bidi="ar-SA"/>
    </w:rPr>
  </w:style>
  <w:style w:type="character" w:customStyle="1" w:styleId="41">
    <w:name w:val="标题 4 字符"/>
    <w:link w:val="5"/>
    <w:qFormat/>
    <w:uiPriority w:val="9"/>
    <w:rPr>
      <w:rFonts w:ascii="Calibri Light" w:hAnsi="Calibri Light" w:eastAsia="宋体" w:cs="Times New Roman"/>
      <w:b/>
      <w:bCs/>
      <w:sz w:val="28"/>
      <w:szCs w:val="28"/>
    </w:rPr>
  </w:style>
  <w:style w:type="character" w:customStyle="1" w:styleId="42">
    <w:name w:val="标题 5 字符"/>
    <w:link w:val="6"/>
    <w:qFormat/>
    <w:uiPriority w:val="0"/>
    <w:rPr>
      <w:rFonts w:ascii="Times New Roman" w:hAnsi="Times New Roman" w:eastAsia="宋体" w:cs="Times New Roman"/>
      <w:b/>
      <w:kern w:val="0"/>
      <w:sz w:val="28"/>
      <w:szCs w:val="20"/>
    </w:rPr>
  </w:style>
  <w:style w:type="character" w:customStyle="1" w:styleId="43">
    <w:name w:val="标题 6 字符"/>
    <w:link w:val="8"/>
    <w:qFormat/>
    <w:uiPriority w:val="0"/>
    <w:rPr>
      <w:rFonts w:ascii="Arial" w:hAnsi="Arial" w:eastAsia="黑体" w:cs="Times New Roman"/>
      <w:b/>
      <w:kern w:val="0"/>
      <w:sz w:val="24"/>
      <w:szCs w:val="20"/>
    </w:rPr>
  </w:style>
  <w:style w:type="character" w:customStyle="1" w:styleId="44">
    <w:name w:val="标题 7 字符"/>
    <w:link w:val="9"/>
    <w:qFormat/>
    <w:uiPriority w:val="0"/>
    <w:rPr>
      <w:rFonts w:ascii="Times New Roman" w:hAnsi="Times New Roman" w:eastAsia="宋体" w:cs="Times New Roman"/>
      <w:b/>
      <w:kern w:val="0"/>
      <w:sz w:val="24"/>
      <w:szCs w:val="20"/>
    </w:rPr>
  </w:style>
  <w:style w:type="character" w:customStyle="1" w:styleId="45">
    <w:name w:val="标题 8 字符"/>
    <w:link w:val="10"/>
    <w:qFormat/>
    <w:uiPriority w:val="0"/>
    <w:rPr>
      <w:rFonts w:ascii="Arial" w:hAnsi="Arial" w:eastAsia="黑体" w:cs="Times New Roman"/>
      <w:kern w:val="0"/>
      <w:sz w:val="24"/>
      <w:szCs w:val="20"/>
    </w:rPr>
  </w:style>
  <w:style w:type="character" w:customStyle="1" w:styleId="46">
    <w:name w:val="标题 9 字符"/>
    <w:link w:val="11"/>
    <w:qFormat/>
    <w:uiPriority w:val="0"/>
    <w:rPr>
      <w:rFonts w:ascii="Arial" w:hAnsi="Arial" w:eastAsia="黑体" w:cs="Times New Roman"/>
      <w:kern w:val="0"/>
      <w:szCs w:val="20"/>
    </w:rPr>
  </w:style>
  <w:style w:type="character" w:customStyle="1" w:styleId="47">
    <w:name w:val="文档结构图 字符1"/>
    <w:link w:val="12"/>
    <w:semiHidden/>
    <w:qFormat/>
    <w:uiPriority w:val="0"/>
    <w:rPr>
      <w:rFonts w:ascii="Times New Roman" w:hAnsi="Times New Roman" w:eastAsia="宋体" w:cs="Times New Roman"/>
      <w:szCs w:val="24"/>
    </w:rPr>
  </w:style>
  <w:style w:type="character" w:customStyle="1" w:styleId="48">
    <w:name w:val="批注文字 字符1"/>
    <w:link w:val="13"/>
    <w:qFormat/>
    <w:uiPriority w:val="0"/>
    <w:rPr>
      <w:rFonts w:ascii="Calibri" w:hAnsi="Calibri" w:eastAsia="宋体" w:cs="Times New Roman"/>
    </w:rPr>
  </w:style>
  <w:style w:type="character" w:customStyle="1" w:styleId="49">
    <w:name w:val="正文文本 字符1"/>
    <w:link w:val="14"/>
    <w:semiHidden/>
    <w:qFormat/>
    <w:uiPriority w:val="99"/>
    <w:rPr>
      <w:rFonts w:ascii="Calibri" w:hAnsi="Calibri" w:eastAsia="宋体" w:cs="Times New Roman"/>
    </w:rPr>
  </w:style>
  <w:style w:type="character" w:customStyle="1" w:styleId="50">
    <w:name w:val="正文文本缩进 字符"/>
    <w:link w:val="15"/>
    <w:qFormat/>
    <w:uiPriority w:val="0"/>
    <w:rPr>
      <w:rFonts w:ascii="Calibri" w:hAnsi="Calibri" w:eastAsia="宋体" w:cs="Times New Roman"/>
      <w:szCs w:val="24"/>
    </w:rPr>
  </w:style>
  <w:style w:type="character" w:customStyle="1" w:styleId="51">
    <w:name w:val="纯文本 字符1"/>
    <w:link w:val="17"/>
    <w:qFormat/>
    <w:uiPriority w:val="0"/>
    <w:rPr>
      <w:rFonts w:ascii="宋体" w:hAnsi="Courier New" w:eastAsia="宋体" w:cs="Times New Roman"/>
      <w:szCs w:val="20"/>
    </w:rPr>
  </w:style>
  <w:style w:type="character" w:customStyle="1" w:styleId="52">
    <w:name w:val="日期 字符"/>
    <w:link w:val="18"/>
    <w:semiHidden/>
    <w:qFormat/>
    <w:uiPriority w:val="99"/>
    <w:rPr>
      <w:rFonts w:ascii="Calibri" w:hAnsi="Calibri" w:eastAsia="宋体" w:cs="Times New Roman"/>
    </w:rPr>
  </w:style>
  <w:style w:type="character" w:customStyle="1" w:styleId="53">
    <w:name w:val="批注框文本 字符1"/>
    <w:link w:val="20"/>
    <w:semiHidden/>
    <w:qFormat/>
    <w:uiPriority w:val="99"/>
    <w:rPr>
      <w:rFonts w:ascii="Calibri" w:hAnsi="Calibri" w:eastAsia="宋体" w:cs="Times New Roman"/>
      <w:sz w:val="18"/>
      <w:szCs w:val="18"/>
    </w:rPr>
  </w:style>
  <w:style w:type="character" w:customStyle="1" w:styleId="54">
    <w:name w:val="页脚 字符1"/>
    <w:link w:val="21"/>
    <w:qFormat/>
    <w:uiPriority w:val="0"/>
    <w:rPr>
      <w:rFonts w:ascii="Calibri" w:hAnsi="Calibri" w:eastAsia="宋体" w:cs="Times New Roman"/>
      <w:sz w:val="18"/>
      <w:szCs w:val="18"/>
    </w:rPr>
  </w:style>
  <w:style w:type="character" w:customStyle="1" w:styleId="55">
    <w:name w:val="页眉 字符1"/>
    <w:link w:val="22"/>
    <w:qFormat/>
    <w:uiPriority w:val="99"/>
    <w:rPr>
      <w:rFonts w:ascii="Calibri" w:hAnsi="Calibri" w:eastAsia="宋体" w:cs="Times New Roman"/>
      <w:sz w:val="18"/>
      <w:szCs w:val="18"/>
    </w:rPr>
  </w:style>
  <w:style w:type="character" w:customStyle="1" w:styleId="56">
    <w:name w:val="正文文本 2 字符1"/>
    <w:link w:val="25"/>
    <w:qFormat/>
    <w:uiPriority w:val="0"/>
    <w:rPr>
      <w:rFonts w:ascii="Times New Roman" w:hAnsi="Times New Roman" w:eastAsia="宋体" w:cs="Times New Roman"/>
      <w:szCs w:val="24"/>
    </w:rPr>
  </w:style>
  <w:style w:type="character" w:customStyle="1" w:styleId="57">
    <w:name w:val="标题 字符"/>
    <w:link w:val="27"/>
    <w:qFormat/>
    <w:uiPriority w:val="10"/>
    <w:rPr>
      <w:rFonts w:ascii="Cambria" w:hAnsi="Cambria" w:eastAsia="宋体" w:cs="Times New Roman"/>
      <w:b/>
      <w:bCs/>
      <w:kern w:val="0"/>
      <w:sz w:val="32"/>
      <w:szCs w:val="32"/>
    </w:rPr>
  </w:style>
  <w:style w:type="character" w:customStyle="1" w:styleId="58">
    <w:name w:val="批注主题 字符"/>
    <w:link w:val="28"/>
    <w:semiHidden/>
    <w:qFormat/>
    <w:uiPriority w:val="99"/>
    <w:rPr>
      <w:rFonts w:ascii="Calibri" w:hAnsi="Calibri" w:eastAsia="宋体" w:cs="Times New Roman"/>
      <w:b/>
      <w:bCs/>
      <w:lang w:val="en-US" w:eastAsia="zh-CN"/>
    </w:rPr>
  </w:style>
  <w:style w:type="character" w:customStyle="1" w:styleId="59">
    <w:name w:val="正文文本首行缩进 字符"/>
    <w:link w:val="29"/>
    <w:qFormat/>
    <w:uiPriority w:val="0"/>
    <w:rPr>
      <w:rFonts w:ascii="Times New Roman" w:hAnsi="Times New Roman" w:eastAsia="宋体" w:cs="Times New Roman"/>
      <w:szCs w:val="24"/>
    </w:rPr>
  </w:style>
  <w:style w:type="character" w:customStyle="1" w:styleId="60">
    <w:name w:val="正文文本 Char"/>
    <w:qFormat/>
    <w:uiPriority w:val="0"/>
    <w:rPr>
      <w:rFonts w:ascii="Times New Roman" w:hAnsi="Times New Roman" w:eastAsia="宋体" w:cs="Times New Roman"/>
      <w:kern w:val="2"/>
      <w:sz w:val="21"/>
      <w:szCs w:val="24"/>
      <w:lang w:val="en-US" w:eastAsia="zh-CN" w:bidi="ar-SA"/>
    </w:rPr>
  </w:style>
  <w:style w:type="character" w:customStyle="1" w:styleId="61">
    <w:name w:val="批注框文本 字符"/>
    <w:semiHidden/>
    <w:qFormat/>
    <w:uiPriority w:val="99"/>
    <w:rPr>
      <w:rFonts w:ascii="Times New Roman" w:hAnsi="Times New Roman" w:eastAsia="宋体" w:cs="Times New Roman"/>
      <w:sz w:val="18"/>
      <w:szCs w:val="18"/>
    </w:rPr>
  </w:style>
  <w:style w:type="character" w:customStyle="1" w:styleId="62">
    <w:name w:val="纯文本 字符"/>
    <w:qFormat/>
    <w:uiPriority w:val="0"/>
    <w:rPr>
      <w:rFonts w:ascii="宋体" w:hAnsi="Courier New" w:eastAsia="宋体" w:cs="宋体"/>
      <w:szCs w:val="21"/>
    </w:rPr>
  </w:style>
  <w:style w:type="character" w:customStyle="1" w:styleId="63">
    <w:name w:val="公式 Char"/>
    <w:link w:val="64"/>
    <w:qFormat/>
    <w:uiPriority w:val="99"/>
    <w:rPr>
      <w:rFonts w:ascii="Calibri" w:hAnsi="Calibri" w:eastAsia="宋体" w:cs="Times New Roman"/>
      <w:kern w:val="0"/>
      <w:sz w:val="20"/>
      <w:szCs w:val="21"/>
    </w:rPr>
  </w:style>
  <w:style w:type="paragraph" w:customStyle="1" w:styleId="64">
    <w:name w:val="公式"/>
    <w:basedOn w:val="1"/>
    <w:link w:val="63"/>
    <w:qFormat/>
    <w:uiPriority w:val="99"/>
    <w:pPr>
      <w:tabs>
        <w:tab w:val="center" w:pos="2892"/>
        <w:tab w:val="right" w:pos="6180"/>
      </w:tabs>
      <w:snapToGrid w:val="0"/>
      <w:textAlignment w:val="center"/>
    </w:pPr>
    <w:rPr>
      <w:kern w:val="0"/>
      <w:sz w:val="20"/>
      <w:szCs w:val="21"/>
    </w:rPr>
  </w:style>
  <w:style w:type="character" w:customStyle="1" w:styleId="65">
    <w:name w:val="font11"/>
    <w:qFormat/>
    <w:uiPriority w:val="0"/>
    <w:rPr>
      <w:rFonts w:hint="eastAsia" w:ascii="宋体" w:hAnsi="宋体" w:eastAsia="宋体" w:cs="宋体"/>
      <w:color w:val="000000"/>
      <w:sz w:val="18"/>
      <w:szCs w:val="18"/>
      <w:u w:val="none"/>
    </w:rPr>
  </w:style>
  <w:style w:type="character" w:customStyle="1" w:styleId="66">
    <w:name w:val="font71"/>
    <w:qFormat/>
    <w:uiPriority w:val="0"/>
    <w:rPr>
      <w:rFonts w:ascii="Arial" w:hAnsi="Arial" w:eastAsia="宋体" w:cs="Arial"/>
      <w:b/>
      <w:bCs/>
      <w:color w:val="000000"/>
      <w:sz w:val="24"/>
      <w:szCs w:val="24"/>
      <w:u w:val="none"/>
    </w:rPr>
  </w:style>
  <w:style w:type="character" w:customStyle="1" w:styleId="67">
    <w:name w:val="font91"/>
    <w:qFormat/>
    <w:uiPriority w:val="0"/>
    <w:rPr>
      <w:rFonts w:hint="eastAsia" w:ascii="宋体" w:hAnsi="宋体" w:eastAsia="宋体" w:cs="宋体"/>
      <w:b/>
      <w:bCs/>
      <w:color w:val="000000"/>
      <w:sz w:val="18"/>
      <w:szCs w:val="18"/>
      <w:u w:val="none"/>
    </w:rPr>
  </w:style>
  <w:style w:type="character" w:customStyle="1" w:styleId="68">
    <w:name w:val="标题5 Char"/>
    <w:link w:val="69"/>
    <w:qFormat/>
    <w:uiPriority w:val="0"/>
    <w:rPr>
      <w:rFonts w:ascii="黑体" w:hAnsi="黑体" w:eastAsia="黑体" w:cs="Times New Roman"/>
      <w:szCs w:val="21"/>
      <w:lang w:val="zh-CN"/>
    </w:rPr>
  </w:style>
  <w:style w:type="paragraph" w:customStyle="1" w:styleId="69">
    <w:name w:val="标题5"/>
    <w:basedOn w:val="1"/>
    <w:link w:val="68"/>
    <w:qFormat/>
    <w:uiPriority w:val="0"/>
    <w:pPr>
      <w:jc w:val="left"/>
      <w:outlineLvl w:val="3"/>
    </w:pPr>
    <w:rPr>
      <w:rFonts w:ascii="黑体" w:hAnsi="黑体" w:eastAsia="黑体"/>
      <w:szCs w:val="21"/>
      <w:lang w:val="zh-CN"/>
    </w:rPr>
  </w:style>
  <w:style w:type="character" w:customStyle="1" w:styleId="70">
    <w:name w:val="表格居中 Char"/>
    <w:link w:val="71"/>
    <w:qFormat/>
    <w:uiPriority w:val="0"/>
    <w:rPr>
      <w:rFonts w:ascii="Calibri" w:hAnsi="Calibri" w:eastAsia="黑体" w:cs="Times New Roman"/>
      <w:b/>
      <w:color w:val="000000"/>
      <w:kern w:val="0"/>
      <w:sz w:val="24"/>
      <w:szCs w:val="24"/>
      <w:lang w:val="zh-CN"/>
    </w:rPr>
  </w:style>
  <w:style w:type="paragraph" w:customStyle="1" w:styleId="71">
    <w:name w:val="表格居中"/>
    <w:basedOn w:val="1"/>
    <w:link w:val="70"/>
    <w:qFormat/>
    <w:uiPriority w:val="0"/>
    <w:pPr>
      <w:autoSpaceDE w:val="0"/>
      <w:autoSpaceDN w:val="0"/>
      <w:adjustRightInd w:val="0"/>
      <w:jc w:val="center"/>
    </w:pPr>
    <w:rPr>
      <w:rFonts w:eastAsia="黑体"/>
      <w:b/>
      <w:color w:val="000000"/>
      <w:kern w:val="0"/>
      <w:lang w:val="zh-CN"/>
    </w:rPr>
  </w:style>
  <w:style w:type="character" w:styleId="72">
    <w:name w:val="Placeholder Text"/>
    <w:semiHidden/>
    <w:qFormat/>
    <w:uiPriority w:val="99"/>
    <w:rPr>
      <w:rFonts w:ascii="Times New Roman" w:hAnsi="Times New Roman" w:eastAsia="宋体" w:cs="Times New Roman"/>
      <w:color w:val="808080"/>
    </w:rPr>
  </w:style>
  <w:style w:type="character" w:customStyle="1" w:styleId="73">
    <w:name w:val="批注文字 字符"/>
    <w:semiHidden/>
    <w:qFormat/>
    <w:uiPriority w:val="99"/>
    <w:rPr>
      <w:rFonts w:ascii="Calibri" w:hAnsi="Calibri" w:eastAsia="宋体" w:cs="Times New Roman"/>
    </w:rPr>
  </w:style>
  <w:style w:type="character" w:customStyle="1" w:styleId="74">
    <w:name w:val="font101"/>
    <w:qFormat/>
    <w:uiPriority w:val="0"/>
    <w:rPr>
      <w:rFonts w:hint="default" w:ascii="Times New Roman" w:hAnsi="Times New Roman" w:eastAsia="宋体" w:cs="Times New Roman"/>
      <w:b/>
      <w:bCs/>
      <w:color w:val="000000"/>
      <w:sz w:val="18"/>
      <w:szCs w:val="18"/>
      <w:u w:val="none"/>
    </w:rPr>
  </w:style>
  <w:style w:type="character" w:customStyle="1" w:styleId="75">
    <w:name w:val="font21"/>
    <w:qFormat/>
    <w:uiPriority w:val="0"/>
    <w:rPr>
      <w:rFonts w:hint="eastAsia" w:ascii="宋体" w:hAnsi="宋体" w:eastAsia="宋体" w:cs="宋体"/>
      <w:color w:val="000000"/>
      <w:sz w:val="18"/>
      <w:szCs w:val="18"/>
      <w:u w:val="none"/>
    </w:rPr>
  </w:style>
  <w:style w:type="character" w:customStyle="1" w:styleId="76">
    <w:name w:val="font131"/>
    <w:qFormat/>
    <w:uiPriority w:val="0"/>
    <w:rPr>
      <w:rFonts w:hint="default" w:ascii="Times New Roman" w:hAnsi="Times New Roman" w:eastAsia="宋体" w:cs="Times New Roman"/>
      <w:color w:val="000000"/>
      <w:sz w:val="18"/>
      <w:szCs w:val="18"/>
      <w:u w:val="none"/>
    </w:rPr>
  </w:style>
  <w:style w:type="character" w:customStyle="1" w:styleId="77">
    <w:name w:val="apple-style-span"/>
    <w:qFormat/>
    <w:uiPriority w:val="0"/>
    <w:rPr>
      <w:rFonts w:ascii="Times New Roman" w:hAnsi="Times New Roman" w:eastAsia="宋体" w:cs="Times New Roman"/>
    </w:rPr>
  </w:style>
  <w:style w:type="character" w:customStyle="1" w:styleId="78">
    <w:name w:val="样式6 正文 Char"/>
    <w:link w:val="79"/>
    <w:qFormat/>
    <w:uiPriority w:val="0"/>
    <w:rPr>
      <w:rFonts w:ascii="Times New Roman" w:hAnsi="Times New Roman" w:eastAsia="宋体" w:cs="Times New Roman"/>
      <w:sz w:val="24"/>
      <w:lang w:val="en-US" w:eastAsia="zh-CN" w:bidi="ar-SA"/>
    </w:rPr>
  </w:style>
  <w:style w:type="paragraph" w:customStyle="1" w:styleId="79">
    <w:name w:val="样式6 正文"/>
    <w:link w:val="78"/>
    <w:qFormat/>
    <w:uiPriority w:val="0"/>
    <w:pPr>
      <w:widowControl w:val="0"/>
      <w:tabs>
        <w:tab w:val="left" w:pos="420"/>
      </w:tabs>
      <w:spacing w:line="360" w:lineRule="auto"/>
      <w:ind w:firstLine="482"/>
      <w:jc w:val="both"/>
    </w:pPr>
    <w:rPr>
      <w:rFonts w:ascii="Times New Roman" w:hAnsi="Times New Roman" w:eastAsia="宋体" w:cs="Times New Roman"/>
      <w:sz w:val="24"/>
      <w:lang w:val="en-US" w:eastAsia="zh-CN" w:bidi="ar-SA"/>
    </w:rPr>
  </w:style>
  <w:style w:type="character" w:customStyle="1" w:styleId="80">
    <w:name w:val="样式6 正文 Char1"/>
    <w:qFormat/>
    <w:uiPriority w:val="0"/>
    <w:rPr>
      <w:rFonts w:ascii="宋体" w:hAnsi="宋体" w:eastAsia="宋体" w:cs="Times New Roman"/>
      <w:bCs/>
      <w:sz w:val="24"/>
      <w:szCs w:val="24"/>
      <w:lang w:bidi="ar-SA"/>
    </w:rPr>
  </w:style>
  <w:style w:type="character" w:customStyle="1" w:styleId="81">
    <w:name w:val="正文文本缩进 Char1"/>
    <w:semiHidden/>
    <w:qFormat/>
    <w:uiPriority w:val="99"/>
    <w:rPr>
      <w:rFonts w:ascii="Times New Roman" w:hAnsi="Times New Roman" w:eastAsia="宋体" w:cs="Times New Roman"/>
      <w:kern w:val="2"/>
      <w:sz w:val="21"/>
      <w:szCs w:val="22"/>
    </w:rPr>
  </w:style>
  <w:style w:type="character" w:customStyle="1" w:styleId="82">
    <w:name w:val="纯文本 Char1"/>
    <w:semiHidden/>
    <w:qFormat/>
    <w:uiPriority w:val="99"/>
    <w:rPr>
      <w:rFonts w:ascii="宋体" w:hAnsi="Courier New" w:eastAsia="宋体" w:cs="Courier New"/>
      <w:kern w:val="2"/>
      <w:sz w:val="21"/>
      <w:szCs w:val="21"/>
    </w:rPr>
  </w:style>
  <w:style w:type="character" w:customStyle="1" w:styleId="83">
    <w:name w:val="apple-converted-space"/>
    <w:qFormat/>
    <w:uiPriority w:val="0"/>
    <w:rPr>
      <w:rFonts w:ascii="Times New Roman" w:hAnsi="Times New Roman" w:eastAsia="宋体" w:cs="Times New Roman"/>
    </w:rPr>
  </w:style>
  <w:style w:type="character" w:customStyle="1" w:styleId="84">
    <w:name w:val="页眉 字符"/>
    <w:qFormat/>
    <w:uiPriority w:val="0"/>
    <w:rPr>
      <w:rFonts w:ascii="Times New Roman" w:hAnsi="Times New Roman" w:eastAsia="宋体" w:cs="Times New Roman"/>
      <w:sz w:val="18"/>
      <w:szCs w:val="18"/>
    </w:rPr>
  </w:style>
  <w:style w:type="character" w:customStyle="1" w:styleId="85">
    <w:name w:val="页脚 字符"/>
    <w:qFormat/>
    <w:uiPriority w:val="99"/>
    <w:rPr>
      <w:rFonts w:ascii="Times New Roman" w:hAnsi="Times New Roman" w:eastAsia="宋体" w:cs="Times New Roman"/>
      <w:sz w:val="18"/>
      <w:szCs w:val="18"/>
    </w:rPr>
  </w:style>
  <w:style w:type="character" w:customStyle="1" w:styleId="86">
    <w:name w:val="标题 1 字符"/>
    <w:qFormat/>
    <w:uiPriority w:val="9"/>
    <w:rPr>
      <w:rFonts w:ascii="Times New Roman" w:hAnsi="Times New Roman" w:eastAsia="宋体" w:cs="Times New Roman"/>
      <w:b/>
      <w:bCs/>
      <w:kern w:val="44"/>
      <w:sz w:val="44"/>
      <w:szCs w:val="44"/>
    </w:rPr>
  </w:style>
  <w:style w:type="character" w:customStyle="1" w:styleId="87">
    <w:name w:val="正文文本 字符"/>
    <w:qFormat/>
    <w:uiPriority w:val="0"/>
    <w:rPr>
      <w:rFonts w:ascii="宋体" w:hAnsi="宋体" w:eastAsia="宋体" w:cs="宋体"/>
      <w:sz w:val="24"/>
      <w:szCs w:val="24"/>
    </w:rPr>
  </w:style>
  <w:style w:type="character" w:customStyle="1" w:styleId="88">
    <w:name w:val="文档结构图 字符"/>
    <w:semiHidden/>
    <w:qFormat/>
    <w:uiPriority w:val="0"/>
    <w:rPr>
      <w:rFonts w:ascii="Times New Roman" w:hAnsi="Times New Roman" w:eastAsia="宋体" w:cs="Times New Roman"/>
      <w:szCs w:val="21"/>
      <w:shd w:val="clear" w:color="auto" w:fill="000080"/>
    </w:rPr>
  </w:style>
  <w:style w:type="character" w:customStyle="1" w:styleId="89">
    <w:name w:val="正文文本 2 字符"/>
    <w:qFormat/>
    <w:uiPriority w:val="0"/>
    <w:rPr>
      <w:rFonts w:ascii="宋体" w:hAnsi="宋体" w:eastAsia="宋体" w:cs="宋体"/>
      <w:sz w:val="24"/>
      <w:szCs w:val="24"/>
    </w:rPr>
  </w:style>
  <w:style w:type="character" w:customStyle="1" w:styleId="90">
    <w:name w:val="font41"/>
    <w:qFormat/>
    <w:uiPriority w:val="0"/>
    <w:rPr>
      <w:rFonts w:hint="eastAsia" w:ascii="仿宋" w:hAnsi="仿宋" w:eastAsia="仿宋" w:cs="仿宋"/>
      <w:color w:val="000000"/>
      <w:sz w:val="22"/>
      <w:szCs w:val="22"/>
      <w:u w:val="none"/>
    </w:rPr>
  </w:style>
  <w:style w:type="character" w:customStyle="1" w:styleId="91">
    <w:name w:val="font121"/>
    <w:qFormat/>
    <w:uiPriority w:val="0"/>
    <w:rPr>
      <w:rFonts w:hint="eastAsia" w:ascii="宋体" w:hAnsi="宋体" w:eastAsia="宋体" w:cs="宋体"/>
      <w:color w:val="000000"/>
      <w:sz w:val="18"/>
      <w:szCs w:val="18"/>
      <w:u w:val="none"/>
    </w:rPr>
  </w:style>
  <w:style w:type="character" w:customStyle="1" w:styleId="92">
    <w:name w:val="font161"/>
    <w:qFormat/>
    <w:uiPriority w:val="0"/>
    <w:rPr>
      <w:rFonts w:hint="eastAsia" w:ascii="宋体" w:hAnsi="宋体" w:eastAsia="宋体" w:cs="宋体"/>
      <w:color w:val="000000"/>
      <w:sz w:val="21"/>
      <w:szCs w:val="21"/>
      <w:u w:val="none"/>
    </w:rPr>
  </w:style>
  <w:style w:type="character" w:customStyle="1" w:styleId="93">
    <w:name w:val="font31"/>
    <w:qFormat/>
    <w:uiPriority w:val="0"/>
    <w:rPr>
      <w:rFonts w:ascii="黑体" w:hAnsi="宋体" w:eastAsia="黑体" w:cs="黑体"/>
      <w:color w:val="000000"/>
      <w:sz w:val="18"/>
      <w:szCs w:val="18"/>
      <w:u w:val="none"/>
    </w:rPr>
  </w:style>
  <w:style w:type="paragraph" w:customStyle="1" w:styleId="94">
    <w:name w:val="_Style 13"/>
    <w:basedOn w:val="2"/>
    <w:qFormat/>
    <w:uiPriority w:val="0"/>
    <w:pPr>
      <w:adjustRightInd/>
      <w:spacing w:before="240" w:after="240" w:line="348" w:lineRule="auto"/>
    </w:pPr>
    <w:rPr>
      <w:rFonts w:ascii="Tahoma" w:hAnsi="Tahoma"/>
      <w:b w:val="0"/>
      <w:bCs/>
      <w:kern w:val="2"/>
      <w:sz w:val="24"/>
      <w:szCs w:val="20"/>
    </w:rPr>
  </w:style>
  <w:style w:type="paragraph" w:customStyle="1" w:styleId="95">
    <w:name w:val="xl22"/>
    <w:basedOn w:val="1"/>
    <w:qFormat/>
    <w:uiPriority w:val="0"/>
    <w:pPr>
      <w:widowControl/>
      <w:spacing w:before="100" w:beforeAutospacing="1" w:after="100" w:afterAutospacing="1"/>
      <w:jc w:val="center"/>
      <w:textAlignment w:val="center"/>
    </w:pPr>
    <w:rPr>
      <w:rFonts w:eastAsia="Arial Unicode MS"/>
      <w:kern w:val="0"/>
    </w:rPr>
  </w:style>
  <w:style w:type="paragraph" w:customStyle="1" w:styleId="96">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97">
    <w:name w:val="章标题"/>
    <w:next w:val="98"/>
    <w:qFormat/>
    <w:uiPriority w:val="0"/>
    <w:pPr>
      <w:numPr>
        <w:ilvl w:val="0"/>
        <w:numId w:val="1"/>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98">
    <w:name w:val="段"/>
    <w:qFormat/>
    <w:uiPriority w:val="0"/>
    <w:pPr>
      <w:ind w:firstLine="200" w:firstLineChars="200"/>
      <w:jc w:val="both"/>
    </w:pPr>
    <w:rPr>
      <w:rFonts w:ascii="宋体" w:hAnsi="Times New Roman" w:eastAsia="宋体" w:cs="Times New Roman"/>
      <w:sz w:val="21"/>
      <w:lang w:val="en-US" w:eastAsia="zh-CN" w:bidi="ar-SA"/>
    </w:rPr>
  </w:style>
  <w:style w:type="paragraph" w:customStyle="1" w:styleId="99">
    <w:name w:val="_Style 98"/>
    <w:basedOn w:val="2"/>
    <w:next w:val="1"/>
    <w:qFormat/>
    <w:uiPriority w:val="39"/>
    <w:pPr>
      <w:widowControl/>
      <w:adjustRightInd/>
      <w:snapToGrid/>
      <w:spacing w:before="240" w:after="0" w:line="259" w:lineRule="auto"/>
      <w:jc w:val="left"/>
      <w:outlineLvl w:val="9"/>
    </w:pPr>
    <w:rPr>
      <w:rFonts w:ascii="Calibri Light" w:hAnsi="Calibri Light"/>
      <w:b w:val="0"/>
      <w:bCs/>
      <w:color w:val="2E74B5"/>
      <w:kern w:val="0"/>
      <w:szCs w:val="32"/>
    </w:rPr>
  </w:style>
  <w:style w:type="paragraph" w:customStyle="1" w:styleId="100">
    <w:name w:val="一级条标题"/>
    <w:next w:val="98"/>
    <w:qFormat/>
    <w:uiPriority w:val="0"/>
    <w:pPr>
      <w:numPr>
        <w:ilvl w:val="1"/>
        <w:numId w:val="1"/>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101">
    <w:name w:val="Char Char2 Char Char Char Char"/>
    <w:basedOn w:val="1"/>
    <w:qFormat/>
    <w:uiPriority w:val="0"/>
    <w:pPr>
      <w:snapToGrid w:val="0"/>
      <w:ind w:firstLine="200"/>
    </w:pPr>
    <w:rPr>
      <w:rFonts w:eastAsia="仿宋_GB2312"/>
    </w:rPr>
  </w:style>
  <w:style w:type="paragraph" w:customStyle="1" w:styleId="102">
    <w:name w:val="样式3 (1)"/>
    <w:basedOn w:val="79"/>
    <w:qFormat/>
    <w:uiPriority w:val="0"/>
    <w:pPr>
      <w:widowControl/>
      <w:numPr>
        <w:ilvl w:val="0"/>
        <w:numId w:val="2"/>
      </w:numPr>
      <w:tabs>
        <w:tab w:val="left" w:pos="510"/>
        <w:tab w:val="clear" w:pos="420"/>
      </w:tabs>
      <w:adjustRightInd w:val="0"/>
    </w:pPr>
  </w:style>
  <w:style w:type="paragraph" w:customStyle="1" w:styleId="103">
    <w:name w:val="二级无标题条"/>
    <w:basedOn w:val="104"/>
    <w:qFormat/>
    <w:uiPriority w:val="0"/>
    <w:pPr>
      <w:spacing w:before="0" w:beforeLines="0" w:after="0" w:afterLines="0"/>
      <w:jc w:val="both"/>
      <w:outlineLvl w:val="9"/>
    </w:pPr>
    <w:rPr>
      <w:rFonts w:ascii="宋体" w:eastAsia="宋体"/>
    </w:rPr>
  </w:style>
  <w:style w:type="paragraph" w:customStyle="1" w:styleId="104">
    <w:name w:val="二级条标题"/>
    <w:basedOn w:val="100"/>
    <w:next w:val="98"/>
    <w:qFormat/>
    <w:uiPriority w:val="0"/>
    <w:pPr>
      <w:numPr>
        <w:ilvl w:val="2"/>
      </w:numPr>
      <w:spacing w:before="50" w:after="50"/>
      <w:outlineLvl w:val="3"/>
    </w:pPr>
  </w:style>
  <w:style w:type="paragraph" w:customStyle="1" w:styleId="105">
    <w:name w:val="四级标题"/>
    <w:basedOn w:val="1"/>
    <w:qFormat/>
    <w:uiPriority w:val="0"/>
    <w:rPr>
      <w:rFonts w:ascii="仿宋_GB2312" w:eastAsia="仿宋_GB2312"/>
      <w:sz w:val="28"/>
      <w:szCs w:val="20"/>
    </w:rPr>
  </w:style>
  <w:style w:type="paragraph" w:customStyle="1" w:styleId="106">
    <w:name w:val="一级标题"/>
    <w:basedOn w:val="1"/>
    <w:qFormat/>
    <w:uiPriority w:val="0"/>
    <w:pPr>
      <w:jc w:val="center"/>
    </w:pPr>
    <w:rPr>
      <w:rFonts w:ascii="仿宋_GB2312" w:eastAsia="黑体"/>
      <w:sz w:val="32"/>
      <w:szCs w:val="20"/>
    </w:rPr>
  </w:style>
  <w:style w:type="paragraph" w:customStyle="1" w:styleId="107">
    <w:name w:val="列出段落1"/>
    <w:basedOn w:val="1"/>
    <w:qFormat/>
    <w:uiPriority w:val="0"/>
    <w:pPr>
      <w:ind w:firstLine="420"/>
    </w:pPr>
  </w:style>
  <w:style w:type="paragraph" w:customStyle="1" w:styleId="108">
    <w:name w:val="列项——"/>
    <w:qFormat/>
    <w:uiPriority w:val="0"/>
    <w:pPr>
      <w:widowControl w:val="0"/>
      <w:numPr>
        <w:ilvl w:val="0"/>
        <w:numId w:val="3"/>
      </w:numPr>
      <w:jc w:val="both"/>
    </w:pPr>
    <w:rPr>
      <w:rFonts w:ascii="宋体" w:hAnsi="Times New Roman" w:eastAsia="宋体" w:cs="Times New Roman"/>
      <w:sz w:val="21"/>
      <w:lang w:val="en-US" w:eastAsia="zh-CN" w:bidi="ar-SA"/>
    </w:rPr>
  </w:style>
  <w:style w:type="paragraph" w:customStyle="1" w:styleId="109">
    <w:name w:val="四级条标题"/>
    <w:basedOn w:val="110"/>
    <w:next w:val="98"/>
    <w:qFormat/>
    <w:uiPriority w:val="0"/>
    <w:pPr>
      <w:numPr>
        <w:ilvl w:val="4"/>
      </w:numPr>
      <w:outlineLvl w:val="5"/>
    </w:pPr>
  </w:style>
  <w:style w:type="paragraph" w:customStyle="1" w:styleId="110">
    <w:name w:val="三级条标题"/>
    <w:basedOn w:val="104"/>
    <w:next w:val="98"/>
    <w:qFormat/>
    <w:uiPriority w:val="0"/>
    <w:pPr>
      <w:numPr>
        <w:ilvl w:val="3"/>
      </w:numPr>
      <w:outlineLvl w:val="4"/>
    </w:pPr>
  </w:style>
  <w:style w:type="paragraph" w:customStyle="1" w:styleId="111">
    <w:name w:val="Style 小四 正文"/>
    <w:basedOn w:val="1"/>
    <w:qFormat/>
    <w:uiPriority w:val="0"/>
    <w:pPr>
      <w:ind w:firstLine="480"/>
    </w:pPr>
    <w:rPr>
      <w:rFonts w:cs="宋体"/>
    </w:rPr>
  </w:style>
  <w:style w:type="paragraph" w:customStyle="1" w:styleId="112">
    <w:name w:val="题目"/>
    <w:basedOn w:val="1"/>
    <w:qFormat/>
    <w:uiPriority w:val="0"/>
    <w:pPr>
      <w:adjustRightInd w:val="0"/>
      <w:spacing w:before="50" w:beforeLines="50" w:after="50" w:afterLines="50" w:line="240" w:lineRule="auto"/>
      <w:ind w:firstLine="0"/>
      <w:jc w:val="center"/>
    </w:pPr>
    <w:rPr>
      <w:rFonts w:ascii="微软雅黑" w:hAnsi="黑体" w:eastAsia="微软雅黑"/>
      <w:bCs/>
      <w:snapToGrid w:val="0"/>
      <w:kern w:val="0"/>
      <w:sz w:val="36"/>
      <w:szCs w:val="32"/>
    </w:rPr>
  </w:style>
  <w:style w:type="paragraph" w:customStyle="1" w:styleId="113">
    <w:name w:val="四级无标题条"/>
    <w:basedOn w:val="109"/>
    <w:qFormat/>
    <w:uiPriority w:val="0"/>
    <w:pPr>
      <w:spacing w:before="0" w:beforeLines="0" w:after="0" w:afterLines="0"/>
      <w:jc w:val="both"/>
      <w:outlineLvl w:val="9"/>
    </w:pPr>
    <w:rPr>
      <w:rFonts w:ascii="宋体" w:eastAsia="宋体"/>
    </w:rPr>
  </w:style>
  <w:style w:type="paragraph" w:customStyle="1" w:styleId="114">
    <w:name w:val="_Style 113"/>
    <w:unhideWhenUsed/>
    <w:qFormat/>
    <w:uiPriority w:val="99"/>
    <w:rPr>
      <w:rFonts w:ascii="Times New Roman" w:hAnsi="Times New Roman" w:eastAsia="宋体" w:cs="Times New Roman"/>
      <w:kern w:val="2"/>
      <w:sz w:val="21"/>
      <w:szCs w:val="24"/>
      <w:lang w:val="en-US" w:eastAsia="zh-CN" w:bidi="ar-SA"/>
    </w:rPr>
  </w:style>
  <w:style w:type="paragraph" w:styleId="115">
    <w:name w:val="List Paragraph"/>
    <w:basedOn w:val="1"/>
    <w:qFormat/>
    <w:uiPriority w:val="34"/>
    <w:pPr>
      <w:ind w:firstLine="420"/>
    </w:pPr>
  </w:style>
  <w:style w:type="paragraph" w:customStyle="1" w:styleId="116">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customStyle="1" w:styleId="117">
    <w:name w:val="List Paragraph1"/>
    <w:basedOn w:val="1"/>
    <w:qFormat/>
    <w:uiPriority w:val="99"/>
    <w:pPr>
      <w:ind w:firstLine="420"/>
    </w:pPr>
  </w:style>
  <w:style w:type="paragraph" w:customStyle="1" w:styleId="118">
    <w:name w:val="三级无标题条"/>
    <w:basedOn w:val="110"/>
    <w:qFormat/>
    <w:uiPriority w:val="0"/>
    <w:pPr>
      <w:spacing w:before="0" w:beforeLines="0" w:after="0" w:afterLines="0"/>
      <w:jc w:val="both"/>
      <w:outlineLvl w:val="9"/>
    </w:pPr>
    <w:rPr>
      <w:rFonts w:ascii="宋体" w:eastAsia="宋体"/>
    </w:rPr>
  </w:style>
  <w:style w:type="paragraph" w:customStyle="1" w:styleId="119">
    <w:name w:val="标准条文"/>
    <w:basedOn w:val="1"/>
    <w:qFormat/>
    <w:uiPriority w:val="0"/>
    <w:pPr>
      <w:spacing w:before="50" w:beforeLines="50"/>
    </w:pPr>
    <w:rPr>
      <w:rFonts w:ascii="宋体" w:hAnsi="宋体"/>
      <w:szCs w:val="28"/>
    </w:rPr>
  </w:style>
  <w:style w:type="paragraph" w:customStyle="1" w:styleId="120">
    <w:name w:val="WPSOffice手动目录 1"/>
    <w:qFormat/>
    <w:uiPriority w:val="0"/>
    <w:rPr>
      <w:rFonts w:asciiTheme="minorHAnsi" w:hAnsiTheme="minorHAnsi" w:eastAsiaTheme="minorEastAsia" w:cstheme="minorBidi"/>
      <w:lang w:val="en-US" w:eastAsia="zh-CN" w:bidi="ar-SA"/>
    </w:rPr>
  </w:style>
  <w:style w:type="paragraph" w:customStyle="1" w:styleId="121">
    <w:name w:val="WPSOffice手动目录 2"/>
    <w:qFormat/>
    <w:uiPriority w:val="0"/>
    <w:pPr>
      <w:ind w:left="200" w:leftChars="200"/>
    </w:pPr>
    <w:rPr>
      <w:rFonts w:asciiTheme="minorHAnsi" w:hAnsiTheme="minorHAnsi" w:eastAsiaTheme="minorEastAsia" w:cstheme="minorBidi"/>
      <w:lang w:val="en-US" w:eastAsia="zh-CN" w:bidi="ar-SA"/>
    </w:rPr>
  </w:style>
  <w:style w:type="paragraph" w:customStyle="1" w:styleId="122">
    <w:name w:val="Revision"/>
    <w:hidden/>
    <w:unhideWhenUsed/>
    <w:qFormat/>
    <w:uiPriority w:val="99"/>
    <w:rPr>
      <w:rFonts w:ascii="Times New Roman" w:hAnsi="Times New Roman" w:eastAsia="宋体" w:cs="Times New Roman"/>
      <w:kern w:val="2"/>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18</Pages>
  <Words>9657</Words>
  <Characters>10478</Characters>
  <Lines>219</Lines>
  <Paragraphs>241</Paragraphs>
  <TotalTime>3</TotalTime>
  <ScaleCrop>false</ScaleCrop>
  <LinksUpToDate>false</LinksUpToDate>
  <CharactersWithSpaces>10658</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2025-09-08T02:08:00Z</dcterms:created>
  <dc:creator>刘春高</dc:creator>
  <cp:lastModifiedBy>刘春高</cp:lastModifiedBy>
  <dcterms:modified xsi:type="dcterms:W3CDTF">2025-12-10T08:13:07Z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F939DB49C73E4B17B977AF70E19F674A</vt:lpwstr>
  </property>
</Properties>
</file>